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default" w:ascii="方正小标宋简体" w:eastAsia="方正小标宋简体"/>
          <w:sz w:val="32"/>
          <w:szCs w:val="32"/>
          <w:lang w:val="en-US" w:eastAsia="zh-CN"/>
        </w:rPr>
      </w:pPr>
      <w:r>
        <w:rPr>
          <w:rFonts w:hint="eastAsia" w:ascii="方正小标宋简体" w:eastAsia="方正小标宋简体"/>
          <w:sz w:val="32"/>
          <w:szCs w:val="32"/>
          <w:lang w:val="en-US" w:eastAsia="zh-CN"/>
        </w:rPr>
        <w:t>附件2</w:t>
      </w:r>
    </w:p>
    <w:p>
      <w:pPr>
        <w:spacing w:line="360" w:lineRule="auto"/>
        <w:jc w:val="center"/>
        <w:rPr>
          <w:rFonts w:ascii="方正小标宋简体" w:eastAsia="方正小标宋简体"/>
          <w:sz w:val="44"/>
          <w:szCs w:val="44"/>
        </w:rPr>
      </w:pPr>
      <w:r>
        <w:rPr>
          <w:rFonts w:hint="eastAsia" w:ascii="方正小标宋简体" w:eastAsia="方正小标宋简体"/>
          <w:sz w:val="44"/>
          <w:szCs w:val="44"/>
        </w:rPr>
        <w:t>部门整体支出绩效自评报告</w:t>
      </w:r>
    </w:p>
    <w:p>
      <w:pPr>
        <w:spacing w:line="360" w:lineRule="auto"/>
        <w:jc w:val="center"/>
        <w:rPr>
          <w:rFonts w:eastAsia="仿宋_GB2312"/>
          <w:sz w:val="32"/>
        </w:rPr>
      </w:pPr>
      <w:r>
        <w:rPr>
          <w:rFonts w:hint="eastAsia" w:ascii="仿宋_GB2312" w:eastAsia="仿宋_GB2312"/>
          <w:sz w:val="32"/>
          <w:szCs w:val="44"/>
          <w:lang w:val="en-US" w:eastAsia="zh-CN"/>
        </w:rPr>
        <w:t xml:space="preserve"> </w:t>
      </w:r>
    </w:p>
    <w:p>
      <w:pPr>
        <w:rPr>
          <w:rFonts w:eastAsia="仿宋_GB2312"/>
          <w:sz w:val="32"/>
        </w:rPr>
      </w:pPr>
    </w:p>
    <w:p>
      <w:pPr>
        <w:rPr>
          <w:rFonts w:eastAsia="仿宋_GB2312"/>
          <w:sz w:val="32"/>
        </w:rPr>
      </w:pPr>
    </w:p>
    <w:p>
      <w:pPr>
        <w:rPr>
          <w:rFonts w:eastAsia="仿宋_GB2312"/>
          <w:sz w:val="32"/>
        </w:rPr>
      </w:pPr>
    </w:p>
    <w:p>
      <w:pPr>
        <w:rPr>
          <w:rFonts w:eastAsia="仿宋_GB2312"/>
          <w:sz w:val="32"/>
        </w:rPr>
      </w:pPr>
    </w:p>
    <w:p>
      <w:pPr>
        <w:rPr>
          <w:rFonts w:eastAsia="仿宋_GB2312"/>
          <w:sz w:val="32"/>
        </w:rPr>
      </w:pPr>
    </w:p>
    <w:p>
      <w:pPr>
        <w:rPr>
          <w:rFonts w:eastAsia="仿宋_GB2312"/>
          <w:sz w:val="32"/>
        </w:rPr>
      </w:pPr>
    </w:p>
    <w:p>
      <w:pPr>
        <w:ind w:firstLine="1894" w:firstLineChars="592"/>
        <w:rPr>
          <w:rFonts w:hint="eastAsia" w:eastAsia="仿宋_GB2312"/>
          <w:sz w:val="32"/>
          <w:lang w:val="en-US" w:eastAsia="zh-CN"/>
        </w:rPr>
      </w:pPr>
      <w:r>
        <w:rPr>
          <w:rFonts w:hint="eastAsia" w:eastAsia="仿宋_GB2312"/>
          <w:sz w:val="32"/>
        </w:rPr>
        <w:t>部门名称（公章）：</w:t>
      </w:r>
      <w:r>
        <w:rPr>
          <w:rFonts w:hint="eastAsia" w:eastAsia="仿宋_GB2312"/>
          <w:sz w:val="32"/>
          <w:lang w:eastAsia="zh-CN"/>
        </w:rPr>
        <w:t>米林市人民法院</w:t>
      </w:r>
    </w:p>
    <w:p>
      <w:pPr>
        <w:ind w:firstLine="1894" w:firstLineChars="592"/>
        <w:rPr>
          <w:rFonts w:hint="eastAsia" w:eastAsia="仿宋_GB2312"/>
          <w:sz w:val="32"/>
          <w:lang w:eastAsia="zh-CN"/>
        </w:rPr>
      </w:pPr>
      <w:r>
        <w:rPr>
          <w:rFonts w:hint="eastAsia" w:eastAsia="仿宋_GB2312"/>
          <w:sz w:val="32"/>
        </w:rPr>
        <w:t>填报人姓名：</w:t>
      </w:r>
      <w:r>
        <w:rPr>
          <w:rFonts w:hint="eastAsia" w:eastAsia="仿宋_GB2312"/>
          <w:sz w:val="32"/>
          <w:lang w:eastAsia="zh-CN"/>
        </w:rPr>
        <w:t>连利芬</w:t>
      </w:r>
    </w:p>
    <w:p>
      <w:pPr>
        <w:ind w:firstLine="1894" w:firstLineChars="592"/>
        <w:rPr>
          <w:rFonts w:hint="default" w:eastAsia="仿宋_GB2312"/>
          <w:sz w:val="32"/>
          <w:lang w:val="en-US" w:eastAsia="zh-CN"/>
        </w:rPr>
      </w:pPr>
      <w:r>
        <w:rPr>
          <w:rFonts w:hint="eastAsia" w:eastAsia="仿宋_GB2312"/>
          <w:sz w:val="32"/>
        </w:rPr>
        <w:t>联系电话：</w:t>
      </w:r>
      <w:r>
        <w:rPr>
          <w:rFonts w:hint="eastAsia" w:eastAsia="仿宋_GB2312"/>
          <w:sz w:val="32"/>
          <w:lang w:val="en-US" w:eastAsia="zh-CN"/>
        </w:rPr>
        <w:t>18989948725</w:t>
      </w:r>
    </w:p>
    <w:p>
      <w:pPr>
        <w:ind w:firstLine="1894" w:firstLineChars="592"/>
        <w:rPr>
          <w:rFonts w:hint="default" w:eastAsia="仿宋_GB2312"/>
          <w:sz w:val="32"/>
          <w:lang w:val="en-US" w:eastAsia="zh-CN"/>
        </w:rPr>
      </w:pPr>
      <w:r>
        <w:rPr>
          <w:rFonts w:hint="eastAsia" w:eastAsia="仿宋_GB2312"/>
          <w:sz w:val="32"/>
        </w:rPr>
        <w:t>填报日期：</w:t>
      </w:r>
      <w:r>
        <w:rPr>
          <w:rFonts w:hint="eastAsia" w:eastAsia="仿宋_GB2312"/>
          <w:sz w:val="32"/>
          <w:lang w:val="en-US" w:eastAsia="zh-CN"/>
        </w:rPr>
        <w:t>2025年5月12日</w:t>
      </w:r>
    </w:p>
    <w:p>
      <w:pPr>
        <w:rPr>
          <w:rFonts w:eastAsia="仿宋_GB2312"/>
          <w:sz w:val="32"/>
        </w:rPr>
      </w:pPr>
    </w:p>
    <w:p>
      <w:pPr>
        <w:rPr>
          <w:rFonts w:eastAsia="仿宋_GB2312"/>
          <w:sz w:val="32"/>
        </w:rPr>
      </w:pPr>
    </w:p>
    <w:p>
      <w:pPr>
        <w:rPr>
          <w:rFonts w:hint="eastAsia" w:eastAsia="仿宋_GB2312"/>
          <w:sz w:val="32"/>
        </w:rPr>
      </w:pPr>
      <w:r>
        <w:rPr>
          <w:rFonts w:hint="eastAsia" w:eastAsia="仿宋_GB2312"/>
          <w:sz w:val="32"/>
        </w:rPr>
        <w:t xml:space="preserve">                </w:t>
      </w:r>
    </w:p>
    <w:p>
      <w:pPr>
        <w:rPr>
          <w:rFonts w:hint="eastAsia" w:eastAsia="仿宋_GB2312"/>
          <w:sz w:val="32"/>
        </w:rPr>
      </w:pPr>
      <w:r>
        <w:rPr>
          <w:rFonts w:hint="eastAsia" w:eastAsia="仿宋_GB2312"/>
          <w:sz w:val="32"/>
        </w:rPr>
        <w:t xml:space="preserve">    </w:t>
      </w:r>
    </w:p>
    <w:p>
      <w:pPr>
        <w:rPr>
          <w:rFonts w:hint="eastAsia" w:eastAsia="仿宋_GB2312"/>
          <w:sz w:val="32"/>
        </w:rPr>
      </w:pPr>
    </w:p>
    <w:p>
      <w:pPr>
        <w:rPr>
          <w:rFonts w:hint="eastAsia" w:eastAsia="仿宋_GB2312"/>
          <w:sz w:val="32"/>
        </w:rPr>
      </w:pPr>
    </w:p>
    <w:p>
      <w:pPr>
        <w:jc w:val="center"/>
        <w:rPr>
          <w:rFonts w:eastAsia="仿宋_GB2312"/>
          <w:sz w:val="32"/>
        </w:rPr>
      </w:pPr>
      <w:r>
        <w:rPr>
          <w:rFonts w:hint="eastAsia" w:eastAsia="仿宋_GB2312"/>
          <w:sz w:val="32"/>
          <w:lang w:val="en-US" w:eastAsia="zh-CN"/>
        </w:rPr>
        <w:t>林芝</w:t>
      </w:r>
      <w:r>
        <w:rPr>
          <w:rFonts w:hint="eastAsia" w:eastAsia="仿宋_GB2312"/>
          <w:sz w:val="32"/>
        </w:rPr>
        <w:t>市财政局制</w:t>
      </w:r>
    </w:p>
    <w:p>
      <w:pPr>
        <w:rPr>
          <w:rFonts w:hint="eastAsia"/>
        </w:rPr>
      </w:pPr>
      <w:r>
        <w:rPr>
          <w:rFonts w:hint="eastAsia" w:eastAsia="仿宋_GB2312"/>
          <w:sz w:val="32"/>
        </w:rPr>
        <w:t xml:space="preserve">                         202</w:t>
      </w:r>
      <w:r>
        <w:rPr>
          <w:rFonts w:hint="eastAsia" w:eastAsia="仿宋_GB2312"/>
          <w:sz w:val="32"/>
          <w:lang w:val="en-US" w:eastAsia="zh-CN"/>
        </w:rPr>
        <w:t>5</w:t>
      </w:r>
      <w:r>
        <w:rPr>
          <w:rFonts w:hint="eastAsia" w:eastAsia="仿宋_GB2312"/>
          <w:sz w:val="32"/>
        </w:rPr>
        <w:t>年</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黑体" w:hAnsi="黑体" w:eastAsia="黑体" w:cs="黑体"/>
          <w:sz w:val="32"/>
          <w:szCs w:val="32"/>
        </w:rPr>
      </w:pPr>
      <w:bookmarkStart w:id="2" w:name="_GoBack"/>
      <w:bookmarkEnd w:id="2"/>
      <w:r>
        <w:rPr>
          <w:rFonts w:hint="eastAsia" w:ascii="黑体" w:hAnsi="黑体" w:eastAsia="黑体" w:cs="黑体"/>
          <w:sz w:val="32"/>
          <w:szCs w:val="32"/>
        </w:rPr>
        <w:t>一、部门概况</w:t>
      </w:r>
    </w:p>
    <w:p>
      <w:pPr>
        <w:keepNext w:val="0"/>
        <w:keepLines w:val="0"/>
        <w:pageBreakBefore w:val="0"/>
        <w:widowControl w:val="0"/>
        <w:kinsoku/>
        <w:wordWrap/>
        <w:overflowPunct/>
        <w:topLinePunct w:val="0"/>
        <w:autoSpaceDE/>
        <w:autoSpaceDN/>
        <w:bidi w:val="0"/>
        <w:adjustRightInd/>
        <w:snapToGrid w:val="0"/>
        <w:spacing w:line="560" w:lineRule="exact"/>
        <w:ind w:left="0" w:firstLine="420" w:firstLineChars="200"/>
        <w:textAlignment w:val="auto"/>
        <w:rPr>
          <w:rFonts w:hint="eastAsia" w:ascii="仿宋_GB2312" w:hAnsi="仿宋" w:eastAsia="仿宋_GB2312"/>
          <w:sz w:val="32"/>
          <w:szCs w:val="32"/>
          <w:highlight w:val="none"/>
        </w:rPr>
      </w:pPr>
      <w:r>
        <w:rPr>
          <w:rFonts w:hint="eastAsia"/>
        </w:rPr>
        <w:t xml:space="preserve"> </w:t>
      </w:r>
      <w:r>
        <w:rPr>
          <w:rFonts w:hint="eastAsia" w:ascii="仿宋_GB2312" w:hAnsi="仿宋" w:eastAsia="仿宋_GB2312"/>
          <w:sz w:val="32"/>
          <w:szCs w:val="32"/>
          <w:highlight w:val="none"/>
        </w:rPr>
        <w:t>1．主要职能。</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米林</w:t>
      </w:r>
      <w:r>
        <w:rPr>
          <w:rFonts w:hint="eastAsia" w:ascii="仿宋" w:hAnsi="仿宋" w:eastAsia="仿宋"/>
          <w:sz w:val="32"/>
          <w:szCs w:val="32"/>
          <w:lang w:eastAsia="zh-CN"/>
        </w:rPr>
        <w:t>市</w:t>
      </w:r>
      <w:r>
        <w:rPr>
          <w:rFonts w:hint="eastAsia" w:ascii="仿宋" w:hAnsi="仿宋" w:eastAsia="仿宋"/>
          <w:sz w:val="32"/>
          <w:szCs w:val="32"/>
        </w:rPr>
        <w:t>人民法院是国家审判机关，在米林</w:t>
      </w:r>
      <w:r>
        <w:rPr>
          <w:rFonts w:hint="eastAsia" w:ascii="仿宋" w:hAnsi="仿宋" w:eastAsia="仿宋"/>
          <w:sz w:val="32"/>
          <w:szCs w:val="32"/>
          <w:lang w:eastAsia="zh-CN"/>
        </w:rPr>
        <w:t>市</w:t>
      </w:r>
      <w:r>
        <w:rPr>
          <w:rFonts w:hint="eastAsia" w:ascii="仿宋" w:hAnsi="仿宋" w:eastAsia="仿宋"/>
          <w:sz w:val="32"/>
          <w:szCs w:val="32"/>
        </w:rPr>
        <w:t>委的领导下依法独立行使审判权。我院在历届领导班子带领下，始终坚持把有利于加强党的领导、有利于维护祖国统一和国家安全、有利于深入开展反分裂斗争、有利于服务发展稳定大局、有利于保障各族人民的根本利益作为法院工作的出发点和落脚点，努力为西藏发展稳定提供优质司法保障。</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特别是近年来，我院在</w:t>
      </w:r>
      <w:r>
        <w:rPr>
          <w:rFonts w:hint="eastAsia" w:ascii="仿宋" w:hAnsi="仿宋" w:eastAsia="仿宋"/>
          <w:sz w:val="32"/>
          <w:szCs w:val="32"/>
          <w:lang w:eastAsia="zh-CN"/>
        </w:rPr>
        <w:t>市</w:t>
      </w:r>
      <w:r>
        <w:rPr>
          <w:rFonts w:hint="eastAsia" w:ascii="仿宋" w:hAnsi="仿宋" w:eastAsia="仿宋"/>
          <w:sz w:val="32"/>
          <w:szCs w:val="32"/>
        </w:rPr>
        <w:t>委的坚强领导及上级法院的有力指导下，深入贯彻落实党的二十大精神，贯彻落实习近平总书记系列重要讲话精神和治国理政新理念新思想新战略，贯彻落实习近平总书记治边稳藏重要战略思想和对政法工作防控风险、服务发展，破解难题、补齐短板的重要指示精神，坚持依法治藏、富民兴藏、长期建藏、凝聚人心、夯实基础的重要原则，紧紧围绕“努力让人民群众在每一个司法案件中感受到公平正义”的工作目标，坚持司法为民、公正司法，各项工作取得了新的成绩。</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ascii="仿宋" w:hAnsi="仿宋" w:eastAsia="仿宋"/>
          <w:b/>
          <w:bCs/>
          <w:sz w:val="32"/>
          <w:szCs w:val="32"/>
        </w:rPr>
      </w:pPr>
      <w:r>
        <w:rPr>
          <w:rFonts w:hint="eastAsia" w:ascii="仿宋" w:hAnsi="仿宋" w:eastAsia="仿宋"/>
          <w:b/>
          <w:bCs/>
          <w:sz w:val="32"/>
          <w:szCs w:val="32"/>
        </w:rPr>
        <w:t>米林</w:t>
      </w:r>
      <w:r>
        <w:rPr>
          <w:rFonts w:hint="eastAsia" w:ascii="仿宋" w:hAnsi="仿宋" w:eastAsia="仿宋"/>
          <w:b/>
          <w:bCs/>
          <w:sz w:val="32"/>
          <w:szCs w:val="32"/>
          <w:lang w:eastAsia="zh-CN"/>
        </w:rPr>
        <w:t>市</w:t>
      </w:r>
      <w:r>
        <w:rPr>
          <w:rFonts w:hint="eastAsia" w:ascii="仿宋" w:hAnsi="仿宋" w:eastAsia="仿宋"/>
          <w:b/>
          <w:bCs/>
          <w:sz w:val="32"/>
          <w:szCs w:val="32"/>
        </w:rPr>
        <w:t>人民法院主要职责为：</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（一）审判认为应当由米林</w:t>
      </w:r>
      <w:r>
        <w:rPr>
          <w:rFonts w:hint="eastAsia" w:ascii="仿宋" w:hAnsi="仿宋" w:eastAsia="仿宋"/>
          <w:sz w:val="32"/>
          <w:szCs w:val="32"/>
          <w:lang w:eastAsia="zh-CN"/>
        </w:rPr>
        <w:t>市</w:t>
      </w:r>
      <w:r>
        <w:rPr>
          <w:rFonts w:hint="eastAsia" w:ascii="仿宋" w:hAnsi="仿宋" w:eastAsia="仿宋"/>
          <w:sz w:val="32"/>
          <w:szCs w:val="32"/>
        </w:rPr>
        <w:t>人民法院审判的刑事、民事、行政、执行等案件。</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（二）审判由</w:t>
      </w:r>
      <w:r>
        <w:rPr>
          <w:rFonts w:hint="eastAsia" w:ascii="仿宋" w:hAnsi="仿宋" w:eastAsia="仿宋"/>
          <w:sz w:val="32"/>
          <w:szCs w:val="32"/>
          <w:lang w:eastAsia="zh-CN"/>
        </w:rPr>
        <w:t>市</w:t>
      </w:r>
      <w:r>
        <w:rPr>
          <w:rFonts w:hint="eastAsia" w:ascii="仿宋" w:hAnsi="仿宋" w:eastAsia="仿宋"/>
          <w:sz w:val="32"/>
          <w:szCs w:val="32"/>
        </w:rPr>
        <w:t>检察院按照审判监督程序提出的抗诉案件。</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三）依照管理权限执行生效的法律文书和债权文书；依法应由人民法院执行的行政处罚决定、行政处理决定；仲裁机构作出的仲裁裁决和调解书；公证机关依法赋予强制执行效力的关于追偿债款、物品债权的文书，以及法律规定由人民法院执行的其他法律文书。依法决定审理的减刑、假释案件，接待处理来信来访。</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(四）做好法院队伍建设、思想政治教育和业务培训工作，按照权限管理法官和其他工作人员。</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（五）综合管理法院武器、着装、装备及加强法院的“两庭”建设。</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 w:hAnsi="仿宋" w:eastAsia="仿宋"/>
          <w:sz w:val="32"/>
          <w:szCs w:val="32"/>
        </w:rPr>
      </w:pPr>
      <w:r>
        <w:rPr>
          <w:rFonts w:hint="eastAsia" w:ascii="仿宋" w:hAnsi="仿宋" w:eastAsia="仿宋"/>
          <w:sz w:val="32"/>
          <w:szCs w:val="32"/>
        </w:rPr>
        <w:t>（六）参与社会治安综合治理工作，运用审判工作开展法制宣传教育。</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ascii="仿宋_GB2312" w:eastAsia="仿宋_GB2312"/>
          <w:sz w:val="32"/>
          <w:szCs w:val="32"/>
        </w:rPr>
      </w:pPr>
      <w:r>
        <w:rPr>
          <w:rFonts w:hint="eastAsia" w:ascii="仿宋" w:hAnsi="仿宋" w:eastAsia="仿宋"/>
          <w:sz w:val="32"/>
          <w:szCs w:val="32"/>
        </w:rPr>
        <w:t>（七）承办应当有米林</w:t>
      </w:r>
      <w:r>
        <w:rPr>
          <w:rFonts w:hint="eastAsia" w:ascii="仿宋" w:hAnsi="仿宋" w:eastAsia="仿宋"/>
          <w:sz w:val="32"/>
          <w:szCs w:val="32"/>
          <w:lang w:eastAsia="zh-CN"/>
        </w:rPr>
        <w:t>市</w:t>
      </w:r>
      <w:r>
        <w:rPr>
          <w:rFonts w:hint="eastAsia" w:ascii="仿宋" w:hAnsi="仿宋" w:eastAsia="仿宋"/>
          <w:sz w:val="32"/>
          <w:szCs w:val="32"/>
        </w:rPr>
        <w:t>人民法院负责的其他事项。</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2.机构情况</w:t>
      </w:r>
    </w:p>
    <w:p>
      <w:pPr>
        <w:keepNext w:val="0"/>
        <w:keepLines w:val="0"/>
        <w:pageBreakBefore w:val="0"/>
        <w:widowControl w:val="0"/>
        <w:kinsoku/>
        <w:wordWrap/>
        <w:overflowPunct/>
        <w:topLinePunct w:val="0"/>
        <w:autoSpaceDE/>
        <w:autoSpaceDN/>
        <w:bidi w:val="0"/>
        <w:adjustRightInd/>
        <w:spacing w:line="560" w:lineRule="exact"/>
        <w:ind w:left="0" w:firstLine="480" w:firstLineChars="150"/>
        <w:textAlignment w:val="auto"/>
        <w:rPr>
          <w:rFonts w:eastAsia="宋体"/>
          <w:sz w:val="24"/>
          <w:szCs w:val="22"/>
        </w:rPr>
      </w:pPr>
      <w:r>
        <w:rPr>
          <w:rFonts w:hint="eastAsia" w:ascii="仿宋_GB2312" w:hAnsi="宋体" w:eastAsia="仿宋_GB2312"/>
          <w:sz w:val="32"/>
          <w:szCs w:val="32"/>
        </w:rPr>
        <w:t xml:space="preserve"> </w:t>
      </w:r>
      <w:r>
        <w:rPr>
          <w:rFonts w:hint="eastAsia" w:ascii="仿宋" w:hAnsi="仿宋" w:eastAsia="仿宋"/>
          <w:sz w:val="32"/>
          <w:szCs w:val="32"/>
        </w:rPr>
        <w:t>西藏林芝市米林</w:t>
      </w:r>
      <w:r>
        <w:rPr>
          <w:rFonts w:hint="eastAsia" w:ascii="仿宋" w:hAnsi="仿宋" w:eastAsia="仿宋"/>
          <w:sz w:val="32"/>
          <w:szCs w:val="32"/>
          <w:lang w:eastAsia="zh-CN"/>
        </w:rPr>
        <w:t>市</w:t>
      </w:r>
      <w:r>
        <w:rPr>
          <w:rFonts w:hint="eastAsia" w:ascii="仿宋" w:hAnsi="仿宋" w:eastAsia="仿宋"/>
          <w:sz w:val="32"/>
          <w:szCs w:val="32"/>
        </w:rPr>
        <w:t>人民法院内设机构5个，包括：审判管理办公室（综合办公室），立案庭（诉讼服务中心），综合审判庭，执行局（司法警察大队），政治部，内设机构均为副科级建制。</w:t>
      </w:r>
      <w:r>
        <w:rPr>
          <w:rFonts w:hint="eastAsia" w:ascii="仿宋_GB2312" w:hAnsi="仿宋_GB2312" w:eastAsia="仿宋_GB2312" w:cs="仿宋_GB2312"/>
          <w:bCs/>
          <w:sz w:val="32"/>
          <w:szCs w:val="32"/>
          <w:lang w:eastAsia="zh-CN"/>
        </w:rPr>
        <w:t>人员编制</w:t>
      </w:r>
      <w:r>
        <w:rPr>
          <w:rFonts w:hint="eastAsia" w:ascii="仿宋_GB2312" w:hAnsi="仿宋_GB2312" w:eastAsia="仿宋_GB2312" w:cs="仿宋_GB2312"/>
          <w:bCs/>
          <w:sz w:val="32"/>
          <w:szCs w:val="32"/>
          <w:lang w:val="en-US" w:eastAsia="zh-CN"/>
        </w:rPr>
        <w:t>27人，实有26人。</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9"/>
        <w:rPr>
          <w:rFonts w:ascii="楷体_GB2312" w:eastAsia="楷体_GB2312"/>
          <w:b/>
          <w:bCs/>
          <w:color w:val="auto"/>
          <w:sz w:val="32"/>
          <w:szCs w:val="32"/>
        </w:rPr>
      </w:pPr>
      <w:bookmarkStart w:id="0" w:name="_Toc25996"/>
      <w:bookmarkStart w:id="1" w:name="_Toc14936_WPSOffice_Level2"/>
      <w:r>
        <w:rPr>
          <w:rFonts w:hint="eastAsia" w:ascii="楷体_GB2312" w:eastAsia="楷体_GB2312"/>
          <w:b/>
          <w:bCs/>
          <w:color w:val="auto"/>
          <w:sz w:val="32"/>
          <w:szCs w:val="32"/>
        </w:rPr>
        <w:t>（二）年度总体工作和重点工作任务</w:t>
      </w:r>
      <w:bookmarkEnd w:id="0"/>
      <w:bookmarkEnd w:id="1"/>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楷体_GB2312" w:eastAsia="楷体_GB2312"/>
          <w:b/>
          <w:bCs/>
          <w:color w:val="auto"/>
          <w:sz w:val="32"/>
          <w:szCs w:val="32"/>
        </w:rPr>
      </w:pPr>
      <w:r>
        <w:rPr>
          <w:rFonts w:hint="eastAsia" w:ascii="仿宋_GB2312" w:hAnsi="仿宋_GB2312" w:eastAsia="仿宋_GB2312" w:cs="仿宋_GB2312"/>
          <w:color w:val="000000"/>
          <w:sz w:val="32"/>
          <w:szCs w:val="32"/>
        </w:rPr>
        <w:t>在</w:t>
      </w:r>
      <w:r>
        <w:rPr>
          <w:rFonts w:hint="eastAsia" w:ascii="仿宋_GB2312" w:hAnsi="仿宋_GB2312" w:eastAsia="仿宋_GB2312" w:cs="仿宋_GB2312"/>
          <w:color w:val="000000"/>
          <w:sz w:val="32"/>
          <w:szCs w:val="32"/>
          <w:lang w:eastAsia="zh-CN"/>
        </w:rPr>
        <w:t>市</w:t>
      </w:r>
      <w:r>
        <w:rPr>
          <w:rFonts w:hint="eastAsia" w:ascii="仿宋_GB2312" w:hAnsi="仿宋_GB2312" w:eastAsia="仿宋_GB2312" w:cs="仿宋_GB2312"/>
          <w:color w:val="000000"/>
          <w:sz w:val="32"/>
          <w:szCs w:val="32"/>
        </w:rPr>
        <w:t>委、人大和上级法院的坚强领导下，在</w:t>
      </w:r>
      <w:r>
        <w:rPr>
          <w:rFonts w:hint="eastAsia" w:ascii="仿宋_GB2312" w:hAnsi="仿宋_GB2312" w:eastAsia="仿宋_GB2312" w:cs="仿宋_GB2312"/>
          <w:color w:val="000000"/>
          <w:sz w:val="32"/>
          <w:szCs w:val="32"/>
          <w:lang w:eastAsia="zh-CN"/>
        </w:rPr>
        <w:t>市</w:t>
      </w:r>
      <w:r>
        <w:rPr>
          <w:rFonts w:hint="eastAsia" w:ascii="仿宋_GB2312" w:hAnsi="仿宋_GB2312" w:eastAsia="仿宋_GB2312" w:cs="仿宋_GB2312"/>
          <w:color w:val="000000"/>
          <w:sz w:val="32"/>
          <w:szCs w:val="32"/>
        </w:rPr>
        <w:t>政府</w:t>
      </w:r>
      <w:r>
        <w:rPr>
          <w:rFonts w:hint="eastAsia" w:ascii="仿宋_GB2312" w:hAnsi="仿宋_GB2312" w:eastAsia="仿宋_GB2312" w:cs="仿宋_GB2312"/>
          <w:color w:val="000000"/>
          <w:sz w:val="32"/>
          <w:szCs w:val="32"/>
          <w:lang w:eastAsia="zh-CN"/>
        </w:rPr>
        <w:t>、政协</w:t>
      </w:r>
      <w:r>
        <w:rPr>
          <w:rFonts w:hint="eastAsia" w:ascii="仿宋_GB2312" w:hAnsi="仿宋_GB2312" w:eastAsia="仿宋_GB2312" w:cs="仿宋_GB2312"/>
          <w:color w:val="000000"/>
          <w:sz w:val="32"/>
          <w:szCs w:val="32"/>
        </w:rPr>
        <w:t>及社会各界的关心支持下，</w:t>
      </w:r>
      <w:r>
        <w:rPr>
          <w:rFonts w:hint="eastAsia" w:ascii="仿宋_GB2312" w:hAnsi="仿宋_GB2312" w:eastAsia="仿宋_GB2312" w:cs="仿宋_GB2312"/>
          <w:color w:val="000000"/>
          <w:sz w:val="32"/>
          <w:szCs w:val="32"/>
          <w:lang w:eastAsia="zh-CN"/>
        </w:rPr>
        <w:t>米林法院</w:t>
      </w:r>
      <w:r>
        <w:rPr>
          <w:rFonts w:hint="eastAsia" w:ascii="仿宋_GB2312" w:hAnsi="仿宋_GB2312" w:eastAsia="仿宋_GB2312" w:cs="仿宋_GB2312"/>
          <w:color w:val="000000"/>
          <w:sz w:val="32"/>
          <w:szCs w:val="32"/>
        </w:rPr>
        <w:t>以习近平新时代中国特色社会主义思想为指导，</w:t>
      </w:r>
      <w:r>
        <w:rPr>
          <w:rFonts w:hint="eastAsia" w:ascii="仿宋_GB2312" w:eastAsia="仿宋_GB2312"/>
          <w:sz w:val="32"/>
          <w:szCs w:val="32"/>
        </w:rPr>
        <w:t>深入贯彻党的</w:t>
      </w:r>
      <w:r>
        <w:rPr>
          <w:rFonts w:hint="eastAsia" w:ascii="仿宋_GB2312" w:hAnsi="Times New Roman" w:eastAsia="仿宋_GB2312"/>
          <w:color w:val="000000"/>
          <w:sz w:val="32"/>
          <w:szCs w:val="32"/>
        </w:rPr>
        <w:t>二十大精神</w:t>
      </w:r>
      <w:r>
        <w:rPr>
          <w:rFonts w:hint="eastAsia" w:ascii="仿宋_GB2312" w:hAnsi="Times New Roman" w:eastAsia="仿宋_GB2312"/>
          <w:color w:val="000000"/>
          <w:sz w:val="32"/>
          <w:szCs w:val="32"/>
          <w:lang w:eastAsia="zh-CN"/>
        </w:rPr>
        <w:t>及二十届三中全会精神，</w:t>
      </w:r>
      <w:r>
        <w:rPr>
          <w:rFonts w:hint="eastAsia" w:ascii="仿宋_GB2312" w:hAnsi="仿宋_GB2312" w:eastAsia="仿宋_GB2312" w:cs="仿宋_GB2312"/>
          <w:sz w:val="32"/>
          <w:szCs w:val="24"/>
          <w:lang w:val="zh-CN"/>
        </w:rPr>
        <w:t>紧紧围绕“努力让人民群众在每一个司法案件中感受到公平正义”目标，为米林长治久安和高质量发展提供了有力的司法服务和保障。</w:t>
      </w:r>
    </w:p>
    <w:p>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9"/>
        <w:rPr>
          <w:rFonts w:hint="eastAsia" w:ascii="楷体_GB2312" w:eastAsia="楷体_GB2312"/>
          <w:b/>
          <w:bCs/>
          <w:color w:val="auto"/>
          <w:sz w:val="32"/>
          <w:szCs w:val="32"/>
        </w:rPr>
      </w:pPr>
      <w:r>
        <w:rPr>
          <w:rFonts w:hint="eastAsia" w:ascii="楷体_GB2312" w:eastAsia="楷体_GB2312"/>
          <w:b/>
          <w:bCs/>
          <w:color w:val="auto"/>
          <w:sz w:val="32"/>
          <w:szCs w:val="32"/>
        </w:rPr>
        <w:t xml:space="preserve">（三）当年部门年度整体支出绩效目标 </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围绕年度履职任务，从产出、效益、满意度三个维度设定整体绩效目标：</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产出层面：实现案件及时处置、年度审执案件高效办结，确保法定审限内结案率达标，妥善处置司法信访投诉，严控一审案件改判发回重审率；持续压缩案件平均审理周期、执行案件平均执行周期，保障法院信息化系统稳定运转，年度预算执行及时规范，全面提升审判执行规范化水平。</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效益层面：强化执行工作成效，兑现胜诉当事人合法权益；规范司法采购、提升先行调解成功率，常态化开展干警廉政警示教育，维护司法领域风清气正；发挥司法职能化解社会矛盾，助力基层社会治理，保障区域社会和谐稳定。</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满意度层面：持续提升当事人、服务对象司法满意度，优化诉讼服务体验，夯实司法工作群众基础，保障法院各项工作长效稳定运行。 </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hint="eastAsia"/>
        </w:rPr>
      </w:pPr>
      <w:r>
        <w:rPr>
          <w:rFonts w:hint="eastAsia" w:ascii="楷体_GB2312" w:eastAsia="楷体_GB2312"/>
          <w:b/>
          <w:bCs/>
          <w:color w:val="auto"/>
          <w:sz w:val="32"/>
          <w:szCs w:val="32"/>
        </w:rPr>
        <w:t>（四）部门预算绩效管理开展情况</w:t>
      </w:r>
      <w:r>
        <w:rPr>
          <w:rFonts w:hint="eastAsia"/>
        </w:rPr>
        <w:t xml:space="preserve"> </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院严格落实全面预算绩效管理要求，建立“预算编制有目标、预算执行有监控、预算完成有评价、评价结果有应用”的闭环管理机制。年初结合审判业务需求科学编制绩效目标，细化量化各项绩效指标；预算执行过程中定期开展绩效运行监控，动态跟踪资金使用、任务推进情况；年末对照绩效指标开展全面自评，梳理成效、查摆短板，将绩效评价结果与预算编制、资金分配、工作考核挂钩，不断提升预算资金使用效益与管理水平。</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hint="eastAsia" w:ascii="楷体_GB2312" w:eastAsia="楷体_GB2312"/>
          <w:b/>
          <w:bCs/>
          <w:color w:val="auto"/>
          <w:sz w:val="32"/>
          <w:szCs w:val="32"/>
        </w:rPr>
      </w:pPr>
      <w:r>
        <w:rPr>
          <w:rFonts w:hint="eastAsia" w:ascii="楷体_GB2312" w:eastAsia="楷体_GB2312"/>
          <w:b/>
          <w:bCs/>
          <w:color w:val="auto"/>
          <w:sz w:val="32"/>
          <w:szCs w:val="32"/>
        </w:rPr>
        <w:t>（五）当年部门预算及执行情况</w:t>
      </w:r>
    </w:p>
    <w:p>
      <w:pPr>
        <w:keepNext w:val="0"/>
        <w:keepLines w:val="0"/>
        <w:pageBreakBefore w:val="0"/>
        <w:widowControl w:val="0"/>
        <w:kinsoku/>
        <w:wordWrap/>
        <w:overflowPunct/>
        <w:topLinePunct w:val="0"/>
        <w:autoSpaceDE/>
        <w:autoSpaceDN/>
        <w:bidi w:val="0"/>
        <w:adjustRightInd/>
        <w:snapToGrid w:val="0"/>
        <w:spacing w:line="560" w:lineRule="exact"/>
        <w:ind w:left="0" w:firstLine="420" w:firstLineChars="200"/>
        <w:textAlignment w:val="auto"/>
        <w:rPr>
          <w:rFonts w:hint="eastAsia" w:ascii="楷体_GB2312" w:hAnsi="仿宋" w:eastAsia="楷体_GB2312"/>
          <w:b/>
          <w:sz w:val="32"/>
          <w:szCs w:val="32"/>
          <w:highlight w:val="none"/>
        </w:rPr>
      </w:pPr>
      <w:r>
        <w:rPr>
          <w:rFonts w:hint="eastAsia"/>
        </w:rPr>
        <w:t xml:space="preserve"> </w:t>
      </w:r>
      <w:r>
        <w:rPr>
          <w:rFonts w:hint="eastAsia" w:ascii="楷体_GB2312" w:hAnsi="仿宋" w:eastAsia="楷体_GB2312"/>
          <w:b/>
          <w:sz w:val="32"/>
          <w:szCs w:val="32"/>
          <w:highlight w:val="none"/>
          <w:lang w:val="en-US" w:eastAsia="zh-CN"/>
        </w:rPr>
        <w:t>1.</w:t>
      </w:r>
      <w:r>
        <w:rPr>
          <w:rFonts w:hint="eastAsia" w:ascii="楷体_GB2312" w:hAnsi="仿宋" w:eastAsia="楷体_GB2312"/>
          <w:b/>
          <w:sz w:val="32"/>
          <w:szCs w:val="32"/>
          <w:highlight w:val="none"/>
        </w:rPr>
        <w:t>收入支出预算安排情况。</w:t>
      </w:r>
    </w:p>
    <w:p>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年收入、支出年初预算安排</w:t>
      </w:r>
      <w:r>
        <w:rPr>
          <w:rFonts w:hint="eastAsia" w:ascii="仿宋_GB2312" w:hAnsi="仿宋_GB2312" w:eastAsia="仿宋_GB2312" w:cs="仿宋_GB2312"/>
          <w:color w:val="000000"/>
          <w:sz w:val="32"/>
          <w:szCs w:val="32"/>
          <w:lang w:val="en-US" w:eastAsia="zh-CN"/>
        </w:rPr>
        <w:t>1676.83</w:t>
      </w:r>
      <w:r>
        <w:rPr>
          <w:rFonts w:hint="eastAsia" w:ascii="仿宋_GB2312" w:hAnsi="仿宋_GB2312" w:eastAsia="仿宋_GB2312" w:cs="仿宋_GB2312"/>
          <w:color w:val="000000"/>
          <w:sz w:val="32"/>
          <w:szCs w:val="32"/>
        </w:rPr>
        <w:t>万元，比上年度</w:t>
      </w:r>
      <w:r>
        <w:rPr>
          <w:rFonts w:hint="eastAsia" w:ascii="仿宋_GB2312" w:hAnsi="仿宋_GB2312" w:eastAsia="仿宋_GB2312" w:cs="仿宋_GB2312"/>
          <w:color w:val="000000"/>
          <w:sz w:val="32"/>
          <w:szCs w:val="32"/>
          <w:lang w:eastAsia="zh-CN"/>
        </w:rPr>
        <w:t>增加</w:t>
      </w:r>
      <w:r>
        <w:rPr>
          <w:rFonts w:hint="eastAsia" w:ascii="仿宋_GB2312" w:hAnsi="仿宋_GB2312" w:eastAsia="仿宋_GB2312" w:cs="仿宋_GB2312"/>
          <w:color w:val="000000"/>
          <w:sz w:val="32"/>
          <w:szCs w:val="32"/>
          <w:lang w:val="en-US" w:eastAsia="zh-CN"/>
        </w:rPr>
        <w:t>180.26</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增长</w:t>
      </w:r>
      <w:r>
        <w:rPr>
          <w:rFonts w:hint="eastAsia" w:ascii="仿宋_GB2312" w:hAnsi="仿宋_GB2312" w:eastAsia="仿宋_GB2312" w:cs="仿宋_GB2312"/>
          <w:color w:val="000000"/>
          <w:sz w:val="32"/>
          <w:szCs w:val="32"/>
          <w:lang w:val="en-US" w:eastAsia="zh-CN"/>
        </w:rPr>
        <w:t>12.04%，</w:t>
      </w:r>
      <w:r>
        <w:rPr>
          <w:rFonts w:hint="eastAsia" w:ascii="仿宋_GB2312" w:hAnsi="仿宋_GB2312" w:eastAsia="仿宋_GB2312" w:cs="仿宋_GB2312"/>
          <w:color w:val="000000"/>
          <w:sz w:val="32"/>
          <w:szCs w:val="32"/>
          <w:lang w:eastAsia="zh-CN"/>
        </w:rPr>
        <w:t>主要原因为人员经费变动，除正常增幅外本年预算增加了双百计划等经费，增幅属于正常范围。</w:t>
      </w:r>
    </w:p>
    <w:p>
      <w:pPr>
        <w:keepNext w:val="0"/>
        <w:keepLines w:val="0"/>
        <w:pageBreakBefore w:val="0"/>
        <w:widowControl w:val="0"/>
        <w:kinsoku/>
        <w:wordWrap/>
        <w:overflowPunct/>
        <w:topLinePunct w:val="0"/>
        <w:autoSpaceDE/>
        <w:autoSpaceDN/>
        <w:bidi w:val="0"/>
        <w:adjustRightInd/>
        <w:snapToGrid w:val="0"/>
        <w:spacing w:line="560" w:lineRule="exact"/>
        <w:ind w:left="0" w:firstLine="643" w:firstLineChars="200"/>
        <w:textAlignment w:val="auto"/>
        <w:outlineLvl w:val="0"/>
        <w:rPr>
          <w:rFonts w:hint="eastAsia" w:ascii="楷体_GB2312" w:hAnsi="仿宋" w:eastAsia="楷体_GB2312"/>
          <w:b/>
          <w:sz w:val="32"/>
          <w:szCs w:val="32"/>
          <w:highlight w:val="none"/>
        </w:rPr>
      </w:pPr>
      <w:r>
        <w:rPr>
          <w:rFonts w:hint="eastAsia" w:ascii="楷体_GB2312" w:hAnsi="仿宋" w:eastAsia="楷体_GB2312"/>
          <w:b/>
          <w:sz w:val="32"/>
          <w:szCs w:val="32"/>
          <w:highlight w:val="none"/>
          <w:lang w:val="en-US" w:eastAsia="zh-CN"/>
        </w:rPr>
        <w:t>2.</w:t>
      </w:r>
      <w:r>
        <w:rPr>
          <w:rFonts w:hint="eastAsia" w:ascii="楷体_GB2312" w:hAnsi="仿宋" w:eastAsia="楷体_GB2312"/>
          <w:b/>
          <w:sz w:val="32"/>
          <w:szCs w:val="32"/>
          <w:highlight w:val="none"/>
        </w:rPr>
        <w:t>收入支出预算执行情况。</w:t>
      </w:r>
    </w:p>
    <w:p>
      <w:pPr>
        <w:keepNext w:val="0"/>
        <w:keepLines w:val="0"/>
        <w:pageBreakBefore w:val="0"/>
        <w:widowControl w:val="0"/>
        <w:kinsoku/>
        <w:wordWrap/>
        <w:overflowPunct/>
        <w:topLinePunct w:val="0"/>
        <w:autoSpaceDE/>
        <w:autoSpaceDN/>
        <w:bidi w:val="0"/>
        <w:adjustRightInd/>
        <w:snapToGrid w:val="0"/>
        <w:spacing w:line="560" w:lineRule="exact"/>
        <w:ind w:left="0" w:firstLine="640" w:firstLineChars="200"/>
        <w:textAlignment w:val="auto"/>
        <w:rPr>
          <w:rFonts w:hint="eastAsia" w:ascii="仿宋_GB2312" w:hAnsi="仿宋" w:eastAsia="仿宋_GB2312"/>
          <w:b/>
          <w:sz w:val="32"/>
          <w:szCs w:val="32"/>
          <w:highlight w:val="none"/>
        </w:rPr>
      </w:pP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年收入、支出年初预算执行</w:t>
      </w:r>
      <w:r>
        <w:rPr>
          <w:rFonts w:hint="eastAsia" w:ascii="仿宋_GB2312" w:hAnsi="仿宋_GB2312" w:eastAsia="仿宋_GB2312" w:cs="仿宋_GB2312"/>
          <w:color w:val="000000"/>
          <w:sz w:val="32"/>
          <w:szCs w:val="32"/>
          <w:u w:val="none"/>
          <w:lang w:val="en-US" w:eastAsia="zh-CN"/>
        </w:rPr>
        <w:t>1570.43</w:t>
      </w:r>
      <w:r>
        <w:rPr>
          <w:rFonts w:hint="eastAsia" w:ascii="仿宋_GB2312" w:hAnsi="仿宋_GB2312" w:eastAsia="仿宋_GB2312" w:cs="仿宋_GB2312"/>
          <w:color w:val="000000"/>
          <w:sz w:val="32"/>
          <w:szCs w:val="32"/>
          <w:u w:val="none"/>
        </w:rPr>
        <w:t>万元，</w:t>
      </w:r>
      <w:r>
        <w:rPr>
          <w:rFonts w:hint="eastAsia" w:ascii="仿宋_GB2312" w:hAnsi="仿宋_GB2312" w:eastAsia="仿宋_GB2312" w:cs="仿宋_GB2312"/>
          <w:color w:val="000000"/>
          <w:sz w:val="32"/>
          <w:szCs w:val="32"/>
          <w:u w:val="none"/>
          <w:lang w:eastAsia="zh-CN"/>
        </w:rPr>
        <w:t>较上一年度减少</w:t>
      </w:r>
      <w:r>
        <w:rPr>
          <w:rFonts w:hint="eastAsia" w:ascii="仿宋_GB2312" w:hAnsi="仿宋_GB2312" w:eastAsia="仿宋_GB2312" w:cs="仿宋_GB2312"/>
          <w:color w:val="000000"/>
          <w:sz w:val="32"/>
          <w:szCs w:val="32"/>
          <w:u w:val="none"/>
          <w:lang w:val="en-US" w:eastAsia="zh-CN"/>
        </w:rPr>
        <w:t>31.92</w:t>
      </w:r>
      <w:r>
        <w:rPr>
          <w:rFonts w:hint="eastAsia" w:ascii="仿宋_GB2312" w:hAnsi="仿宋_GB2312" w:eastAsia="仿宋_GB2312" w:cs="仿宋_GB2312"/>
          <w:color w:val="000000"/>
          <w:sz w:val="32"/>
          <w:szCs w:val="32"/>
          <w:u w:val="none"/>
        </w:rPr>
        <w:t>万元，</w:t>
      </w:r>
      <w:r>
        <w:rPr>
          <w:rFonts w:hint="eastAsia" w:ascii="仿宋_GB2312" w:hAnsi="仿宋_GB2312" w:eastAsia="仿宋_GB2312" w:cs="仿宋_GB2312"/>
          <w:color w:val="000000"/>
          <w:sz w:val="32"/>
          <w:szCs w:val="32"/>
          <w:u w:val="none"/>
          <w:lang w:eastAsia="zh-CN"/>
        </w:rPr>
        <w:t>降低</w:t>
      </w:r>
      <w:r>
        <w:rPr>
          <w:rFonts w:hint="eastAsia" w:ascii="仿宋_GB2312" w:hAnsi="仿宋_GB2312" w:eastAsia="仿宋_GB2312" w:cs="仿宋_GB2312"/>
          <w:color w:val="000000"/>
          <w:sz w:val="32"/>
          <w:szCs w:val="32"/>
          <w:u w:val="none"/>
          <w:lang w:val="en-US" w:eastAsia="zh-CN"/>
        </w:rPr>
        <w:t>2%，主要原因是2024年预算执行包含了本年度非财政拨款收入（援藏资金）190万元，2025年度未统计该项数据，导致数据浮动。</w:t>
      </w:r>
    </w:p>
    <w:p>
      <w:pPr>
        <w:keepNext w:val="0"/>
        <w:keepLines w:val="0"/>
        <w:pageBreakBefore w:val="0"/>
        <w:widowControl w:val="0"/>
        <w:kinsoku/>
        <w:wordWrap/>
        <w:overflowPunct/>
        <w:topLinePunct w:val="0"/>
        <w:autoSpaceDE/>
        <w:autoSpaceDN/>
        <w:bidi w:val="0"/>
        <w:adjustRightInd/>
        <w:snapToGrid w:val="0"/>
        <w:spacing w:line="560" w:lineRule="exact"/>
        <w:ind w:left="0" w:firstLine="643" w:firstLineChars="200"/>
        <w:textAlignment w:val="auto"/>
        <w:rPr>
          <w:rFonts w:hint="eastAsia" w:ascii="仿宋_GB2312" w:hAnsi="仿宋" w:eastAsia="仿宋_GB2312"/>
          <w:sz w:val="32"/>
          <w:szCs w:val="32"/>
          <w:highlight w:val="none"/>
        </w:rPr>
      </w:pPr>
      <w:r>
        <w:rPr>
          <w:rFonts w:hint="eastAsia" w:ascii="仿宋_GB2312" w:hAnsi="仿宋" w:eastAsia="仿宋_GB2312"/>
          <w:b/>
          <w:sz w:val="32"/>
          <w:szCs w:val="32"/>
          <w:highlight w:val="none"/>
          <w:lang w:val="en-US" w:eastAsia="zh-CN"/>
        </w:rPr>
        <w:t>3.</w:t>
      </w:r>
      <w:r>
        <w:rPr>
          <w:rFonts w:hint="eastAsia" w:ascii="仿宋_GB2312" w:hAnsi="仿宋" w:eastAsia="仿宋_GB2312"/>
          <w:b/>
          <w:sz w:val="32"/>
          <w:szCs w:val="32"/>
          <w:highlight w:val="none"/>
        </w:rPr>
        <w:t>收入支出与预算对比分析。</w:t>
      </w:r>
    </w:p>
    <w:p>
      <w:pPr>
        <w:keepNext w:val="0"/>
        <w:keepLines w:val="0"/>
        <w:pageBreakBefore w:val="0"/>
        <w:widowControl w:val="0"/>
        <w:kinsoku/>
        <w:wordWrap/>
        <w:overflowPunct/>
        <w:topLinePunct w:val="0"/>
        <w:autoSpaceDE/>
        <w:autoSpaceDN/>
        <w:bidi w:val="0"/>
        <w:adjustRightInd/>
        <w:snapToGrid w:val="0"/>
        <w:spacing w:line="560" w:lineRule="exact"/>
        <w:ind w:left="0" w:firstLine="643" w:firstLineChars="200"/>
        <w:textAlignment w:val="auto"/>
        <w:rPr>
          <w:rFonts w:hint="eastAsia" w:ascii="仿宋_GB2312" w:hAnsi="仿宋" w:eastAsia="仿宋_GB2312"/>
          <w:b/>
          <w:sz w:val="32"/>
          <w:szCs w:val="32"/>
          <w:lang w:eastAsia="zh-CN"/>
        </w:rPr>
      </w:pPr>
      <w:r>
        <w:rPr>
          <w:rFonts w:hint="eastAsia" w:ascii="仿宋_GB2312" w:hAnsi="仿宋" w:eastAsia="仿宋_GB2312"/>
          <w:b/>
          <w:sz w:val="32"/>
          <w:szCs w:val="32"/>
          <w:lang w:eastAsia="zh-CN"/>
        </w:rPr>
        <w:t>收入支出与预算对比分析表（单位：万元）</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2"/>
        <w:gridCol w:w="1725"/>
        <w:gridCol w:w="1740"/>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2"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项目（按功能分类）</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年初预算数</w:t>
            </w:r>
          </w:p>
        </w:tc>
        <w:tc>
          <w:tcPr>
            <w:tcW w:w="174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决算数</w:t>
            </w:r>
          </w:p>
        </w:tc>
        <w:tc>
          <w:tcPr>
            <w:tcW w:w="285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2"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公共安全支出</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1410.19</w:t>
            </w:r>
          </w:p>
        </w:tc>
        <w:tc>
          <w:tcPr>
            <w:tcW w:w="174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1328.13</w:t>
            </w:r>
          </w:p>
        </w:tc>
        <w:tc>
          <w:tcPr>
            <w:tcW w:w="285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2"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社会保障和就业支出</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114.93</w:t>
            </w:r>
          </w:p>
        </w:tc>
        <w:tc>
          <w:tcPr>
            <w:tcW w:w="174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81.16</w:t>
            </w:r>
          </w:p>
        </w:tc>
        <w:tc>
          <w:tcPr>
            <w:tcW w:w="285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rPr>
            </w:pPr>
            <w:r>
              <w:rPr>
                <w:rFonts w:hint="eastAsia" w:ascii="仿宋_GB2312" w:hAnsi="仿宋" w:eastAsia="仿宋_GB2312"/>
                <w:b/>
                <w:sz w:val="32"/>
                <w:szCs w:val="32"/>
                <w:vertAlign w:val="baseline"/>
                <w:lang w:eastAsia="zh-CN"/>
              </w:rPr>
              <w:t>年初预算存在偏差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2"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卫生健康支出</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65.51</w:t>
            </w:r>
          </w:p>
        </w:tc>
        <w:tc>
          <w:tcPr>
            <w:tcW w:w="174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56.62</w:t>
            </w:r>
          </w:p>
        </w:tc>
        <w:tc>
          <w:tcPr>
            <w:tcW w:w="285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年初预算存在偏差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2"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住房保障支出</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86.2</w:t>
            </w:r>
          </w:p>
        </w:tc>
        <w:tc>
          <w:tcPr>
            <w:tcW w:w="174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104.52</w:t>
            </w:r>
          </w:p>
        </w:tc>
        <w:tc>
          <w:tcPr>
            <w:tcW w:w="285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决算数包含住房补贴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2"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lang w:eastAsia="zh-CN"/>
              </w:rPr>
            </w:pPr>
            <w:r>
              <w:rPr>
                <w:rFonts w:hint="eastAsia" w:ascii="仿宋_GB2312" w:hAnsi="仿宋" w:eastAsia="仿宋_GB2312"/>
                <w:b/>
                <w:sz w:val="32"/>
                <w:szCs w:val="32"/>
                <w:vertAlign w:val="baseline"/>
                <w:lang w:eastAsia="zh-CN"/>
              </w:rPr>
              <w:t>合计</w:t>
            </w:r>
          </w:p>
        </w:tc>
        <w:tc>
          <w:tcPr>
            <w:tcW w:w="1725"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1676.83</w:t>
            </w:r>
          </w:p>
        </w:tc>
        <w:tc>
          <w:tcPr>
            <w:tcW w:w="174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default" w:ascii="仿宋_GB2312" w:hAnsi="仿宋" w:eastAsia="仿宋_GB2312"/>
                <w:b/>
                <w:sz w:val="32"/>
                <w:szCs w:val="32"/>
                <w:vertAlign w:val="baseline"/>
                <w:lang w:val="en-US" w:eastAsia="zh-CN"/>
              </w:rPr>
            </w:pPr>
            <w:r>
              <w:rPr>
                <w:rFonts w:hint="eastAsia" w:ascii="仿宋_GB2312" w:hAnsi="仿宋" w:eastAsia="仿宋_GB2312"/>
                <w:b/>
                <w:sz w:val="32"/>
                <w:szCs w:val="32"/>
                <w:vertAlign w:val="baseline"/>
                <w:lang w:val="en-US" w:eastAsia="zh-CN"/>
              </w:rPr>
              <w:t>1570.43</w:t>
            </w:r>
          </w:p>
        </w:tc>
        <w:tc>
          <w:tcPr>
            <w:tcW w:w="2850" w:type="dxa"/>
            <w:noWrap w:val="0"/>
            <w:vAlign w:val="center"/>
          </w:tcPr>
          <w:p>
            <w:pPr>
              <w:keepNext w:val="0"/>
              <w:keepLines w:val="0"/>
              <w:pageBreakBefore w:val="0"/>
              <w:widowControl w:val="0"/>
              <w:kinsoku/>
              <w:wordWrap/>
              <w:overflowPunct/>
              <w:topLinePunct w:val="0"/>
              <w:autoSpaceDE/>
              <w:autoSpaceDN/>
              <w:bidi w:val="0"/>
              <w:adjustRightInd/>
              <w:snapToGrid w:val="0"/>
              <w:spacing w:line="560" w:lineRule="exact"/>
              <w:ind w:left="0"/>
              <w:jc w:val="center"/>
              <w:textAlignment w:val="auto"/>
              <w:rPr>
                <w:rFonts w:hint="eastAsia" w:ascii="仿宋_GB2312" w:hAnsi="仿宋" w:eastAsia="仿宋_GB2312"/>
                <w:b/>
                <w:sz w:val="32"/>
                <w:szCs w:val="32"/>
                <w:vertAlign w:val="baseline"/>
              </w:rPr>
            </w:pPr>
          </w:p>
        </w:tc>
      </w:tr>
    </w:tbl>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textAlignment w:val="auto"/>
        <w:rPr>
          <w:rFonts w:hint="eastAsia" w:ascii="仿宋_GB2312" w:hAnsi="仿宋" w:eastAsia="仿宋_GB2312"/>
          <w:b/>
          <w:sz w:val="32"/>
          <w:szCs w:val="32"/>
          <w:highlight w:val="none"/>
        </w:rPr>
      </w:pPr>
      <w:r>
        <w:rPr>
          <w:rFonts w:hint="eastAsia" w:ascii="仿宋_GB2312" w:hAnsi="仿宋" w:eastAsia="仿宋_GB2312"/>
          <w:b/>
          <w:sz w:val="32"/>
          <w:szCs w:val="32"/>
          <w:highlight w:val="none"/>
          <w:lang w:val="en-US" w:eastAsia="zh-CN"/>
        </w:rPr>
        <w:t>4.</w:t>
      </w:r>
      <w:r>
        <w:rPr>
          <w:rFonts w:hint="eastAsia" w:ascii="仿宋_GB2312" w:hAnsi="仿宋" w:eastAsia="仿宋_GB2312"/>
          <w:b/>
          <w:sz w:val="32"/>
          <w:szCs w:val="32"/>
          <w:highlight w:val="none"/>
        </w:rPr>
        <w:t>支出按经济分类科目分析。</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年“三公”经</w:t>
      </w:r>
      <w:r>
        <w:rPr>
          <w:rFonts w:hint="eastAsia" w:ascii="仿宋_GB2312" w:hAnsi="仿宋_GB2312" w:eastAsia="仿宋_GB2312" w:cs="仿宋_GB2312"/>
          <w:snapToGrid w:val="0"/>
          <w:w w:val="95"/>
          <w:sz w:val="32"/>
          <w:szCs w:val="32"/>
        </w:rPr>
        <w:t>费预算数为</w:t>
      </w:r>
      <w:r>
        <w:rPr>
          <w:rFonts w:hint="eastAsia" w:ascii="仿宋_GB2312" w:hAnsi="仿宋_GB2312" w:eastAsia="仿宋_GB2312" w:cs="仿宋_GB2312"/>
          <w:snapToGrid w:val="0"/>
          <w:w w:val="95"/>
          <w:sz w:val="32"/>
          <w:szCs w:val="32"/>
          <w:lang w:val="en-US" w:eastAsia="zh-CN"/>
        </w:rPr>
        <w:t>9</w:t>
      </w:r>
      <w:r>
        <w:rPr>
          <w:rFonts w:hint="eastAsia" w:ascii="仿宋_GB2312" w:hAnsi="仿宋_GB2312" w:eastAsia="仿宋_GB2312" w:cs="仿宋_GB2312"/>
          <w:snapToGrid w:val="0"/>
          <w:w w:val="95"/>
          <w:sz w:val="32"/>
          <w:szCs w:val="32"/>
        </w:rPr>
        <w:t>万元，较202</w:t>
      </w:r>
      <w:r>
        <w:rPr>
          <w:rFonts w:hint="eastAsia" w:ascii="仿宋_GB2312" w:hAnsi="仿宋_GB2312" w:eastAsia="仿宋_GB2312" w:cs="仿宋_GB2312"/>
          <w:snapToGrid w:val="0"/>
          <w:w w:val="95"/>
          <w:sz w:val="32"/>
          <w:szCs w:val="32"/>
          <w:lang w:val="en-US" w:eastAsia="zh-CN"/>
        </w:rPr>
        <w:t>4</w:t>
      </w:r>
      <w:r>
        <w:rPr>
          <w:rFonts w:hint="eastAsia" w:ascii="仿宋_GB2312" w:hAnsi="仿宋_GB2312" w:eastAsia="仿宋_GB2312" w:cs="仿宋_GB2312"/>
          <w:snapToGrid w:val="0"/>
          <w:w w:val="95"/>
          <w:sz w:val="32"/>
          <w:szCs w:val="32"/>
        </w:rPr>
        <w:t>年</w:t>
      </w:r>
      <w:r>
        <w:rPr>
          <w:rFonts w:hint="eastAsia" w:ascii="仿宋_GB2312" w:hAnsi="仿宋_GB2312" w:eastAsia="仿宋_GB2312" w:cs="仿宋_GB2312"/>
          <w:snapToGrid w:val="0"/>
          <w:w w:val="95"/>
          <w:sz w:val="32"/>
          <w:szCs w:val="32"/>
          <w:lang w:eastAsia="zh-CN"/>
        </w:rPr>
        <w:t>增加</w:t>
      </w:r>
      <w:r>
        <w:rPr>
          <w:rFonts w:hint="eastAsia" w:ascii="仿宋_GB2312" w:hAnsi="仿宋_GB2312" w:eastAsia="仿宋_GB2312" w:cs="仿宋_GB2312"/>
          <w:snapToGrid w:val="0"/>
          <w:w w:val="95"/>
          <w:sz w:val="32"/>
          <w:szCs w:val="32"/>
          <w:lang w:val="en-US" w:eastAsia="zh-CN"/>
        </w:rPr>
        <w:t>80</w:t>
      </w:r>
      <w:r>
        <w:rPr>
          <w:rFonts w:hint="eastAsia" w:ascii="仿宋_GB2312" w:hAnsi="仿宋_GB2312" w:eastAsia="仿宋_GB2312" w:cs="仿宋_GB2312"/>
          <w:snapToGrid w:val="0"/>
          <w:w w:val="95"/>
          <w:sz w:val="32"/>
          <w:szCs w:val="32"/>
        </w:rPr>
        <w:t>%。202</w:t>
      </w:r>
      <w:r>
        <w:rPr>
          <w:rFonts w:hint="eastAsia" w:ascii="仿宋_GB2312" w:hAnsi="仿宋_GB2312" w:eastAsia="仿宋_GB2312" w:cs="仿宋_GB2312"/>
          <w:snapToGrid w:val="0"/>
          <w:w w:val="95"/>
          <w:sz w:val="32"/>
          <w:szCs w:val="32"/>
          <w:lang w:val="en-US" w:eastAsia="zh-CN"/>
        </w:rPr>
        <w:t>5年</w:t>
      </w:r>
      <w:r>
        <w:rPr>
          <w:rFonts w:hint="eastAsia" w:ascii="仿宋_GB2312" w:hAnsi="仿宋_GB2312" w:eastAsia="仿宋_GB2312" w:cs="仿宋_GB2312"/>
          <w:snapToGrid w:val="0"/>
          <w:w w:val="95"/>
          <w:sz w:val="32"/>
          <w:szCs w:val="32"/>
        </w:rPr>
        <w:t>支出</w:t>
      </w:r>
      <w:r>
        <w:rPr>
          <w:rFonts w:hint="eastAsia" w:ascii="仿宋_GB2312" w:hAnsi="仿宋_GB2312" w:eastAsia="仿宋_GB2312" w:cs="仿宋_GB2312"/>
          <w:snapToGrid w:val="0"/>
          <w:w w:val="95"/>
          <w:sz w:val="32"/>
          <w:szCs w:val="32"/>
          <w:lang w:val="en-US" w:eastAsia="zh-CN"/>
        </w:rPr>
        <w:t>13.31</w:t>
      </w:r>
      <w:r>
        <w:rPr>
          <w:rFonts w:hint="eastAsia" w:ascii="仿宋_GB2312" w:hAnsi="仿宋_GB2312" w:eastAsia="仿宋_GB2312" w:cs="仿宋_GB2312"/>
          <w:snapToGrid w:val="0"/>
          <w:w w:val="95"/>
          <w:sz w:val="32"/>
          <w:szCs w:val="32"/>
        </w:rPr>
        <w:t>万元</w:t>
      </w:r>
      <w:r>
        <w:rPr>
          <w:rFonts w:hint="eastAsia" w:ascii="仿宋_GB2312" w:hAnsi="仿宋_GB2312" w:eastAsia="仿宋_GB2312" w:cs="仿宋_GB2312"/>
          <w:snapToGrid w:val="0"/>
          <w:w w:val="95"/>
          <w:sz w:val="32"/>
          <w:szCs w:val="32"/>
          <w:lang w:eastAsia="zh-CN"/>
        </w:rPr>
        <w:t>（从</w:t>
      </w:r>
      <w:r>
        <w:rPr>
          <w:rFonts w:hint="eastAsia" w:ascii="仿宋_GB2312" w:hAnsi="仿宋_GB2312" w:eastAsia="仿宋_GB2312" w:cs="仿宋_GB2312"/>
          <w:snapToGrid w:val="0"/>
          <w:w w:val="95"/>
          <w:sz w:val="32"/>
          <w:szCs w:val="32"/>
          <w:lang w:val="en-US" w:eastAsia="zh-CN"/>
        </w:rPr>
        <w:t>2025年中央转移支付办案业务费中支出4.99万元）</w:t>
      </w:r>
      <w:r>
        <w:rPr>
          <w:rFonts w:hint="eastAsia" w:ascii="仿宋_GB2312" w:hAnsi="仿宋_GB2312" w:eastAsia="仿宋_GB2312" w:cs="仿宋_GB2312"/>
          <w:snapToGrid w:val="0"/>
          <w:w w:val="95"/>
          <w:sz w:val="32"/>
          <w:szCs w:val="32"/>
        </w:rPr>
        <w:t>，</w:t>
      </w:r>
      <w:r>
        <w:rPr>
          <w:rFonts w:hint="eastAsia" w:ascii="仿宋_GB2312" w:hAnsi="仿宋_GB2312" w:eastAsia="仿宋_GB2312" w:cs="仿宋_GB2312"/>
          <w:snapToGrid w:val="0"/>
          <w:w w:val="95"/>
          <w:sz w:val="32"/>
          <w:szCs w:val="32"/>
          <w:lang w:eastAsia="zh-CN"/>
        </w:rPr>
        <w:t>因</w:t>
      </w:r>
      <w:r>
        <w:rPr>
          <w:rFonts w:hint="eastAsia" w:ascii="仿宋_GB2312" w:hAnsi="仿宋_GB2312" w:eastAsia="仿宋_GB2312" w:cs="仿宋_GB2312"/>
          <w:snapToGrid w:val="0"/>
          <w:w w:val="95"/>
          <w:sz w:val="32"/>
          <w:szCs w:val="32"/>
          <w:lang w:val="en-US" w:eastAsia="zh-CN"/>
        </w:rPr>
        <w:t>2023年财物统管，我院财政预算上划至林芝市，年初公用经费预算不足，预算三公经费占比较少，2025年预算更趋于规范化，遂导致预算变动幅度较大</w:t>
      </w:r>
      <w:r>
        <w:rPr>
          <w:rFonts w:hint="eastAsia" w:ascii="仿宋_GB2312" w:hAnsi="仿宋_GB2312" w:eastAsia="仿宋_GB2312" w:cs="仿宋_GB2312"/>
          <w:snapToGrid w:val="0"/>
          <w:w w:val="95"/>
          <w:sz w:val="32"/>
          <w:szCs w:val="32"/>
        </w:rPr>
        <w:t>。</w:t>
      </w:r>
    </w:p>
    <w:p>
      <w:pPr>
        <w:keepNext w:val="0"/>
        <w:keepLines w:val="0"/>
        <w:pageBreakBefore w:val="0"/>
        <w:widowControl w:val="0"/>
        <w:kinsoku/>
        <w:wordWrap/>
        <w:overflowPunct/>
        <w:topLinePunct w:val="0"/>
        <w:autoSpaceDE/>
        <w:autoSpaceDN/>
        <w:bidi w:val="0"/>
        <w:adjustRightInd/>
        <w:spacing w:line="560" w:lineRule="exact"/>
        <w:ind w:left="0" w:firstLine="608" w:firstLineChars="200"/>
        <w:textAlignment w:val="auto"/>
        <w:rPr>
          <w:rFonts w:ascii="仿宋_GB2312" w:hAnsi="仿宋_GB2312" w:eastAsia="仿宋_GB2312" w:cs="仿宋_GB2312"/>
          <w:w w:val="95"/>
          <w:sz w:val="32"/>
          <w:szCs w:val="32"/>
        </w:rPr>
      </w:pPr>
      <w:r>
        <w:rPr>
          <w:rFonts w:hint="eastAsia" w:ascii="楷体_GB2312" w:hAnsi="楷体_GB2312" w:eastAsia="楷体_GB2312" w:cs="楷体_GB2312"/>
          <w:snapToGrid w:val="0"/>
          <w:w w:val="95"/>
          <w:sz w:val="32"/>
          <w:szCs w:val="32"/>
          <w:lang w:val="en-US" w:eastAsia="zh-CN"/>
        </w:rPr>
        <w:t>1</w:t>
      </w:r>
      <w:r>
        <w:rPr>
          <w:rFonts w:hint="eastAsia" w:ascii="楷体_GB2312" w:hAnsi="楷体_GB2312" w:eastAsia="楷体_GB2312" w:cs="楷体_GB2312"/>
          <w:snapToGrid w:val="0"/>
          <w:w w:val="95"/>
          <w:sz w:val="32"/>
          <w:szCs w:val="32"/>
        </w:rPr>
        <w:t>.因公出国（境）费用。</w:t>
      </w:r>
      <w:r>
        <w:rPr>
          <w:rFonts w:hint="eastAsia" w:ascii="仿宋_GB2312" w:hAnsi="仿宋_GB2312" w:eastAsia="仿宋_GB2312" w:cs="仿宋_GB2312"/>
          <w:w w:val="95"/>
          <w:sz w:val="32"/>
          <w:szCs w:val="32"/>
        </w:rPr>
        <w:t>202</w:t>
      </w:r>
      <w:r>
        <w:rPr>
          <w:rFonts w:hint="eastAsia" w:ascii="仿宋_GB2312" w:hAnsi="仿宋_GB2312" w:eastAsia="仿宋_GB2312" w:cs="仿宋_GB2312"/>
          <w:w w:val="95"/>
          <w:sz w:val="32"/>
          <w:szCs w:val="32"/>
          <w:lang w:val="en-US" w:eastAsia="zh-CN"/>
        </w:rPr>
        <w:t>5</w:t>
      </w:r>
      <w:r>
        <w:rPr>
          <w:rFonts w:hint="eastAsia" w:ascii="仿宋_GB2312" w:hAnsi="仿宋_GB2312" w:eastAsia="仿宋_GB2312" w:cs="仿宋_GB2312"/>
          <w:snapToGrid w:val="0"/>
          <w:w w:val="95"/>
          <w:sz w:val="32"/>
          <w:szCs w:val="32"/>
        </w:rPr>
        <w:t>年预算数为</w:t>
      </w:r>
      <w:r>
        <w:rPr>
          <w:rFonts w:hint="eastAsia" w:ascii="仿宋_GB2312" w:hAnsi="仿宋_GB2312" w:eastAsia="仿宋_GB2312" w:cs="仿宋_GB2312"/>
          <w:w w:val="95"/>
          <w:sz w:val="32"/>
          <w:szCs w:val="32"/>
        </w:rPr>
        <w:t>0</w:t>
      </w:r>
      <w:r>
        <w:rPr>
          <w:rFonts w:hint="eastAsia" w:ascii="仿宋_GB2312" w:hAnsi="仿宋_GB2312" w:eastAsia="仿宋_GB2312" w:cs="仿宋_GB2312"/>
          <w:snapToGrid w:val="0"/>
          <w:w w:val="95"/>
          <w:sz w:val="32"/>
          <w:szCs w:val="32"/>
        </w:rPr>
        <w:t>万元。为进一步规范因公出国（境）费用管理，我</w:t>
      </w:r>
      <w:r>
        <w:rPr>
          <w:rFonts w:hint="eastAsia" w:ascii="仿宋_GB2312" w:hAnsi="仿宋_GB2312" w:eastAsia="仿宋_GB2312" w:cs="仿宋_GB2312"/>
          <w:snapToGrid w:val="0"/>
          <w:w w:val="95"/>
          <w:sz w:val="32"/>
          <w:szCs w:val="32"/>
          <w:lang w:eastAsia="zh-CN"/>
        </w:rPr>
        <w:t>市</w:t>
      </w:r>
      <w:r>
        <w:rPr>
          <w:rFonts w:hint="eastAsia" w:ascii="仿宋_GB2312" w:hAnsi="仿宋_GB2312" w:eastAsia="仿宋_GB2312" w:cs="仿宋_GB2312"/>
          <w:snapToGrid w:val="0"/>
          <w:w w:val="95"/>
          <w:sz w:val="32"/>
          <w:szCs w:val="32"/>
        </w:rPr>
        <w:t>因公出国（境）费用按照零基预算原则，因此因公出国（境）费用预算为零。202</w:t>
      </w:r>
      <w:r>
        <w:rPr>
          <w:rFonts w:hint="eastAsia" w:ascii="仿宋_GB2312" w:hAnsi="仿宋_GB2312" w:eastAsia="仿宋_GB2312" w:cs="仿宋_GB2312"/>
          <w:snapToGrid w:val="0"/>
          <w:w w:val="95"/>
          <w:sz w:val="32"/>
          <w:szCs w:val="32"/>
          <w:lang w:val="en-US" w:eastAsia="zh-CN"/>
        </w:rPr>
        <w:t>5</w:t>
      </w:r>
      <w:r>
        <w:rPr>
          <w:rFonts w:hint="eastAsia" w:ascii="仿宋_GB2312" w:hAnsi="仿宋_GB2312" w:eastAsia="仿宋_GB2312" w:cs="仿宋_GB2312"/>
          <w:snapToGrid w:val="0"/>
          <w:w w:val="95"/>
          <w:sz w:val="32"/>
          <w:szCs w:val="32"/>
        </w:rPr>
        <w:t>年和202</w:t>
      </w:r>
      <w:r>
        <w:rPr>
          <w:rFonts w:hint="eastAsia" w:ascii="仿宋_GB2312" w:hAnsi="仿宋_GB2312" w:eastAsia="仿宋_GB2312" w:cs="仿宋_GB2312"/>
          <w:snapToGrid w:val="0"/>
          <w:w w:val="95"/>
          <w:sz w:val="32"/>
          <w:szCs w:val="32"/>
          <w:lang w:val="en-US" w:eastAsia="zh-CN"/>
        </w:rPr>
        <w:t>4</w:t>
      </w:r>
      <w:r>
        <w:rPr>
          <w:rFonts w:hint="eastAsia" w:ascii="仿宋_GB2312" w:hAnsi="仿宋_GB2312" w:eastAsia="仿宋_GB2312" w:cs="仿宋_GB2312"/>
          <w:snapToGrid w:val="0"/>
          <w:w w:val="95"/>
          <w:sz w:val="32"/>
          <w:szCs w:val="32"/>
        </w:rPr>
        <w:t>年支出均为0万元。</w:t>
      </w:r>
    </w:p>
    <w:p>
      <w:pPr>
        <w:keepNext w:val="0"/>
        <w:keepLines w:val="0"/>
        <w:pageBreakBefore w:val="0"/>
        <w:widowControl w:val="0"/>
        <w:kinsoku/>
        <w:wordWrap/>
        <w:overflowPunct/>
        <w:topLinePunct w:val="0"/>
        <w:autoSpaceDE/>
        <w:autoSpaceDN/>
        <w:bidi w:val="0"/>
        <w:adjustRightInd/>
        <w:spacing w:line="560" w:lineRule="exact"/>
        <w:ind w:left="0" w:firstLine="608" w:firstLineChars="200"/>
        <w:textAlignment w:val="auto"/>
        <w:rPr>
          <w:rFonts w:ascii="仿宋_GB2312" w:hAnsi="仿宋_GB2312" w:eastAsia="仿宋_GB2312" w:cs="仿宋_GB2312"/>
          <w:w w:val="95"/>
          <w:sz w:val="32"/>
          <w:szCs w:val="32"/>
        </w:rPr>
      </w:pPr>
      <w:r>
        <w:rPr>
          <w:rFonts w:hint="eastAsia" w:ascii="楷体_GB2312" w:hAnsi="楷体_GB2312" w:eastAsia="楷体_GB2312" w:cs="楷体_GB2312"/>
          <w:snapToGrid w:val="0"/>
          <w:w w:val="95"/>
          <w:sz w:val="32"/>
          <w:szCs w:val="32"/>
          <w:lang w:val="en-US" w:eastAsia="zh-CN"/>
        </w:rPr>
        <w:t>2</w:t>
      </w:r>
      <w:r>
        <w:rPr>
          <w:rFonts w:hint="eastAsia" w:ascii="楷体_GB2312" w:hAnsi="楷体_GB2312" w:eastAsia="楷体_GB2312" w:cs="楷体_GB2312"/>
          <w:snapToGrid w:val="0"/>
          <w:w w:val="95"/>
          <w:sz w:val="32"/>
          <w:szCs w:val="32"/>
        </w:rPr>
        <w:t>.公务用车购置及运行费。</w:t>
      </w:r>
      <w:r>
        <w:rPr>
          <w:rFonts w:hint="eastAsia" w:ascii="楷体_GB2312" w:hAnsi="楷体_GB2312" w:eastAsia="楷体_GB2312" w:cs="楷体_GB2312"/>
          <w:snapToGrid w:val="0"/>
          <w:w w:val="95"/>
          <w:sz w:val="32"/>
          <w:szCs w:val="32"/>
          <w:lang w:val="en-US" w:eastAsia="zh-CN"/>
        </w:rPr>
        <w:t>2025年预算数为8万元。</w:t>
      </w:r>
      <w:r>
        <w:rPr>
          <w:rFonts w:hint="eastAsia" w:ascii="仿宋_GB2312" w:hAnsi="仿宋_GB2312" w:eastAsia="仿宋_GB2312" w:cs="仿宋_GB2312"/>
          <w:w w:val="95"/>
          <w:sz w:val="32"/>
          <w:szCs w:val="32"/>
        </w:rPr>
        <w:t>202</w:t>
      </w:r>
      <w:r>
        <w:rPr>
          <w:rFonts w:hint="eastAsia" w:ascii="仿宋_GB2312" w:hAnsi="仿宋_GB2312" w:eastAsia="仿宋_GB2312" w:cs="仿宋_GB2312"/>
          <w:w w:val="95"/>
          <w:sz w:val="32"/>
          <w:szCs w:val="32"/>
          <w:lang w:val="en-US" w:eastAsia="zh-CN"/>
        </w:rPr>
        <w:t>4</w:t>
      </w:r>
      <w:r>
        <w:rPr>
          <w:rFonts w:hint="eastAsia" w:ascii="仿宋_GB2312" w:hAnsi="仿宋_GB2312" w:eastAsia="仿宋_GB2312" w:cs="仿宋_GB2312"/>
          <w:snapToGrid w:val="0"/>
          <w:w w:val="95"/>
          <w:sz w:val="32"/>
          <w:szCs w:val="32"/>
        </w:rPr>
        <w:t>年有预算数</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napToGrid w:val="0"/>
          <w:w w:val="95"/>
          <w:sz w:val="32"/>
          <w:szCs w:val="32"/>
        </w:rPr>
        <w:t>万元。其中：</w:t>
      </w:r>
    </w:p>
    <w:p>
      <w:pPr>
        <w:keepNext w:val="0"/>
        <w:keepLines w:val="0"/>
        <w:pageBreakBefore w:val="0"/>
        <w:widowControl w:val="0"/>
        <w:kinsoku/>
        <w:wordWrap/>
        <w:overflowPunct/>
        <w:topLinePunct w:val="0"/>
        <w:autoSpaceDE/>
        <w:autoSpaceDN/>
        <w:bidi w:val="0"/>
        <w:adjustRightInd/>
        <w:spacing w:line="560" w:lineRule="exact"/>
        <w:ind w:left="0" w:firstLine="608" w:firstLineChars="200"/>
        <w:textAlignment w:val="auto"/>
        <w:rPr>
          <w:rFonts w:ascii="仿宋_GB2312" w:hAnsi="仿宋_GB2312" w:eastAsia="仿宋_GB2312" w:cs="仿宋_GB2312"/>
          <w:w w:val="95"/>
          <w:sz w:val="32"/>
          <w:szCs w:val="32"/>
        </w:rPr>
      </w:pPr>
      <w:r>
        <w:rPr>
          <w:rFonts w:hint="eastAsia" w:ascii="仿宋_GB2312" w:hAnsi="仿宋_GB2312" w:eastAsia="仿宋_GB2312" w:cs="仿宋_GB2312"/>
          <w:snapToGrid w:val="0"/>
          <w:w w:val="95"/>
          <w:sz w:val="32"/>
          <w:szCs w:val="32"/>
        </w:rPr>
        <w:t>（</w:t>
      </w:r>
      <w:r>
        <w:rPr>
          <w:rFonts w:hint="eastAsia" w:ascii="仿宋_GB2312" w:hAnsi="仿宋_GB2312" w:eastAsia="仿宋_GB2312" w:cs="仿宋_GB2312"/>
          <w:w w:val="95"/>
          <w:sz w:val="32"/>
          <w:szCs w:val="32"/>
        </w:rPr>
        <w:t>1</w:t>
      </w:r>
      <w:r>
        <w:rPr>
          <w:rFonts w:hint="eastAsia" w:ascii="仿宋_GB2312" w:hAnsi="仿宋_GB2312" w:eastAsia="仿宋_GB2312" w:cs="仿宋_GB2312"/>
          <w:snapToGrid w:val="0"/>
          <w:w w:val="95"/>
          <w:sz w:val="32"/>
          <w:szCs w:val="32"/>
        </w:rPr>
        <w:t>）公务用车购置费。</w:t>
      </w:r>
      <w:r>
        <w:rPr>
          <w:rFonts w:hint="eastAsia" w:ascii="仿宋_GB2312" w:hAnsi="仿宋_GB2312" w:eastAsia="仿宋_GB2312" w:cs="仿宋_GB2312"/>
          <w:w w:val="95"/>
          <w:sz w:val="32"/>
          <w:szCs w:val="32"/>
        </w:rPr>
        <w:t>202</w:t>
      </w:r>
      <w:r>
        <w:rPr>
          <w:rFonts w:hint="eastAsia" w:ascii="仿宋_GB2312" w:hAnsi="仿宋_GB2312" w:eastAsia="仿宋_GB2312" w:cs="仿宋_GB2312"/>
          <w:w w:val="95"/>
          <w:sz w:val="32"/>
          <w:szCs w:val="32"/>
          <w:lang w:val="en-US" w:eastAsia="zh-CN"/>
        </w:rPr>
        <w:t>5</w:t>
      </w:r>
      <w:r>
        <w:rPr>
          <w:rFonts w:hint="eastAsia" w:ascii="仿宋_GB2312" w:hAnsi="仿宋_GB2312" w:eastAsia="仿宋_GB2312" w:cs="仿宋_GB2312"/>
          <w:snapToGrid w:val="0"/>
          <w:w w:val="95"/>
          <w:sz w:val="32"/>
          <w:szCs w:val="32"/>
        </w:rPr>
        <w:t>年公务用车购置费预算数为</w:t>
      </w:r>
      <w:r>
        <w:rPr>
          <w:rFonts w:hint="eastAsia" w:ascii="仿宋_GB2312" w:hAnsi="仿宋_GB2312" w:eastAsia="仿宋_GB2312" w:cs="仿宋_GB2312"/>
          <w:w w:val="95"/>
          <w:sz w:val="32"/>
          <w:szCs w:val="32"/>
        </w:rPr>
        <w:t>0</w:t>
      </w:r>
      <w:r>
        <w:rPr>
          <w:rFonts w:hint="eastAsia" w:ascii="仿宋_GB2312" w:hAnsi="仿宋_GB2312" w:eastAsia="仿宋_GB2312" w:cs="仿宋_GB2312"/>
          <w:snapToGrid w:val="0"/>
          <w:w w:val="95"/>
          <w:sz w:val="32"/>
          <w:szCs w:val="32"/>
        </w:rPr>
        <w:t>万元（公务用车购置严格按照我县车辆管理及厉行节约有关要求实行总额控制）。202</w:t>
      </w:r>
      <w:r>
        <w:rPr>
          <w:rFonts w:hint="eastAsia" w:ascii="仿宋_GB2312" w:hAnsi="仿宋_GB2312" w:eastAsia="仿宋_GB2312" w:cs="仿宋_GB2312"/>
          <w:snapToGrid w:val="0"/>
          <w:w w:val="95"/>
          <w:sz w:val="32"/>
          <w:szCs w:val="32"/>
          <w:lang w:val="en-US" w:eastAsia="zh-CN"/>
        </w:rPr>
        <w:t>5</w:t>
      </w:r>
      <w:r>
        <w:rPr>
          <w:rFonts w:hint="eastAsia" w:ascii="仿宋_GB2312" w:hAnsi="仿宋_GB2312" w:eastAsia="仿宋_GB2312" w:cs="仿宋_GB2312"/>
          <w:snapToGrid w:val="0"/>
          <w:w w:val="95"/>
          <w:sz w:val="32"/>
          <w:szCs w:val="32"/>
        </w:rPr>
        <w:t>年和202</w:t>
      </w:r>
      <w:r>
        <w:rPr>
          <w:rFonts w:hint="eastAsia" w:ascii="仿宋_GB2312" w:hAnsi="仿宋_GB2312" w:eastAsia="仿宋_GB2312" w:cs="仿宋_GB2312"/>
          <w:snapToGrid w:val="0"/>
          <w:w w:val="95"/>
          <w:sz w:val="32"/>
          <w:szCs w:val="32"/>
          <w:lang w:val="en-US" w:eastAsia="zh-CN"/>
        </w:rPr>
        <w:t>4</w:t>
      </w:r>
      <w:r>
        <w:rPr>
          <w:rFonts w:hint="eastAsia" w:ascii="仿宋_GB2312" w:hAnsi="仿宋_GB2312" w:eastAsia="仿宋_GB2312" w:cs="仿宋_GB2312"/>
          <w:snapToGrid w:val="0"/>
          <w:w w:val="95"/>
          <w:sz w:val="32"/>
          <w:szCs w:val="32"/>
        </w:rPr>
        <w:t>年支出均为0万元。</w:t>
      </w:r>
    </w:p>
    <w:p>
      <w:pPr>
        <w:keepNext w:val="0"/>
        <w:keepLines w:val="0"/>
        <w:pageBreakBefore w:val="0"/>
        <w:widowControl w:val="0"/>
        <w:kinsoku/>
        <w:wordWrap/>
        <w:overflowPunct/>
        <w:topLinePunct w:val="0"/>
        <w:autoSpaceDE/>
        <w:autoSpaceDN/>
        <w:bidi w:val="0"/>
        <w:adjustRightInd/>
        <w:spacing w:line="560" w:lineRule="exact"/>
        <w:ind w:left="0" w:firstLine="608"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napToGrid w:val="0"/>
          <w:w w:val="95"/>
          <w:sz w:val="32"/>
          <w:szCs w:val="32"/>
        </w:rPr>
        <w:t>（2）公务用车运行费。</w:t>
      </w:r>
      <w:r>
        <w:rPr>
          <w:rFonts w:hint="eastAsia" w:ascii="仿宋_GB2312" w:hAnsi="仿宋_GB2312" w:eastAsia="仿宋_GB2312" w:cs="仿宋_GB2312"/>
          <w:snapToGrid w:val="0"/>
          <w:w w:val="95"/>
          <w:sz w:val="32"/>
          <w:szCs w:val="32"/>
          <w:lang w:val="en-US" w:eastAsia="zh-CN"/>
        </w:rPr>
        <w:t>2025年年初预算数为8万元，</w:t>
      </w:r>
      <w:r>
        <w:rPr>
          <w:rFonts w:hint="eastAsia" w:ascii="仿宋_GB2312" w:hAnsi="仿宋_GB2312" w:eastAsia="仿宋_GB2312" w:cs="仿宋_GB2312"/>
          <w:w w:val="95"/>
          <w:sz w:val="32"/>
          <w:szCs w:val="32"/>
        </w:rPr>
        <w:t>202</w:t>
      </w:r>
      <w:r>
        <w:rPr>
          <w:rFonts w:hint="eastAsia" w:ascii="仿宋_GB2312" w:hAnsi="仿宋_GB2312" w:eastAsia="仿宋_GB2312" w:cs="仿宋_GB2312"/>
          <w:w w:val="95"/>
          <w:sz w:val="32"/>
          <w:szCs w:val="32"/>
          <w:lang w:val="en-US" w:eastAsia="zh-CN"/>
        </w:rPr>
        <w:t>4</w:t>
      </w:r>
      <w:r>
        <w:rPr>
          <w:rFonts w:hint="eastAsia" w:ascii="仿宋_GB2312" w:hAnsi="仿宋_GB2312" w:eastAsia="仿宋_GB2312" w:cs="仿宋_GB2312"/>
          <w:snapToGrid w:val="0"/>
          <w:w w:val="95"/>
          <w:sz w:val="32"/>
          <w:szCs w:val="32"/>
        </w:rPr>
        <w:t>年预算数</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napToGrid w:val="0"/>
          <w:w w:val="95"/>
          <w:sz w:val="32"/>
          <w:szCs w:val="32"/>
        </w:rPr>
        <w:t>万元</w:t>
      </w:r>
      <w:r>
        <w:rPr>
          <w:rFonts w:hint="eastAsia" w:ascii="仿宋_GB2312" w:hAnsi="仿宋_GB2312" w:eastAsia="仿宋_GB2312" w:cs="仿宋_GB2312"/>
          <w:snapToGrid w:val="0"/>
          <w:w w:val="95"/>
          <w:sz w:val="32"/>
          <w:szCs w:val="32"/>
          <w:lang w:eastAsia="zh-CN"/>
        </w:rPr>
        <w:t>，增长</w:t>
      </w:r>
      <w:r>
        <w:rPr>
          <w:rFonts w:hint="eastAsia" w:ascii="仿宋_GB2312" w:hAnsi="仿宋_GB2312" w:eastAsia="仿宋_GB2312" w:cs="仿宋_GB2312"/>
          <w:snapToGrid w:val="0"/>
          <w:w w:val="95"/>
          <w:sz w:val="32"/>
          <w:szCs w:val="32"/>
          <w:lang w:val="en-US" w:eastAsia="zh-CN"/>
        </w:rPr>
        <w:t>100%，主要原因为2024年年初预算不足，三公经费预算较少</w:t>
      </w:r>
      <w:r>
        <w:rPr>
          <w:rFonts w:hint="eastAsia" w:ascii="仿宋_GB2312" w:hAnsi="仿宋_GB2312" w:eastAsia="仿宋_GB2312" w:cs="仿宋_GB2312"/>
          <w:snapToGrid w:val="0"/>
          <w:w w:val="95"/>
          <w:sz w:val="32"/>
          <w:szCs w:val="32"/>
        </w:rPr>
        <w:t>。单位公务用车</w:t>
      </w:r>
      <w:r>
        <w:rPr>
          <w:rFonts w:hint="eastAsia" w:ascii="仿宋_GB2312" w:hAnsi="仿宋_GB2312" w:eastAsia="仿宋_GB2312" w:cs="仿宋_GB2312"/>
          <w:snapToGrid w:val="0"/>
          <w:w w:val="95"/>
          <w:sz w:val="32"/>
          <w:szCs w:val="32"/>
          <w:lang w:eastAsia="zh-CN"/>
        </w:rPr>
        <w:t>编制</w:t>
      </w:r>
      <w:r>
        <w:rPr>
          <w:rFonts w:hint="eastAsia" w:ascii="仿宋_GB2312" w:hAnsi="仿宋_GB2312" w:eastAsia="仿宋_GB2312" w:cs="仿宋_GB2312"/>
          <w:snapToGrid w:val="0"/>
          <w:w w:val="95"/>
          <w:sz w:val="32"/>
          <w:szCs w:val="32"/>
          <w:lang w:val="en-US" w:eastAsia="zh-CN"/>
        </w:rPr>
        <w:t>1</w:t>
      </w:r>
      <w:r>
        <w:rPr>
          <w:rFonts w:hint="eastAsia" w:ascii="仿宋_GB2312" w:hAnsi="仿宋_GB2312" w:eastAsia="仿宋_GB2312" w:cs="仿宋_GB2312"/>
          <w:snapToGrid w:val="0"/>
          <w:w w:val="95"/>
          <w:sz w:val="32"/>
          <w:szCs w:val="32"/>
        </w:rPr>
        <w:t>0辆，保有量8辆。</w:t>
      </w:r>
      <w:r>
        <w:rPr>
          <w:rFonts w:hint="eastAsia" w:ascii="仿宋_GB2312" w:hAnsi="仿宋_GB2312" w:eastAsia="仿宋_GB2312" w:cs="仿宋_GB2312"/>
          <w:snapToGrid w:val="0"/>
          <w:w w:val="95"/>
          <w:sz w:val="32"/>
          <w:szCs w:val="32"/>
          <w:lang w:val="en-US" w:eastAsia="zh-CN"/>
        </w:rPr>
        <w:t>2025年支出12.99万元</w:t>
      </w:r>
      <w:r>
        <w:rPr>
          <w:rFonts w:hint="eastAsia" w:ascii="仿宋_GB2312" w:hAnsi="仿宋_GB2312" w:eastAsia="仿宋_GB2312" w:cs="仿宋_GB2312"/>
          <w:snapToGrid w:val="0"/>
          <w:w w:val="95"/>
          <w:sz w:val="32"/>
          <w:szCs w:val="32"/>
          <w:lang w:eastAsia="zh-CN"/>
        </w:rPr>
        <w:t>（从</w:t>
      </w:r>
      <w:r>
        <w:rPr>
          <w:rFonts w:hint="eastAsia" w:ascii="仿宋_GB2312" w:hAnsi="仿宋_GB2312" w:eastAsia="仿宋_GB2312" w:cs="仿宋_GB2312"/>
          <w:snapToGrid w:val="0"/>
          <w:w w:val="95"/>
          <w:sz w:val="32"/>
          <w:szCs w:val="32"/>
          <w:lang w:val="en-US" w:eastAsia="zh-CN"/>
        </w:rPr>
        <w:t>2025年中央转移支付办案业务费中支出4.99万元），较上年增长8.43%，</w:t>
      </w:r>
      <w:r>
        <w:rPr>
          <w:rFonts w:hint="eastAsia" w:ascii="仿宋_GB2312" w:hAnsi="仿宋_GB2312" w:eastAsia="仿宋_GB2312" w:cs="仿宋_GB2312"/>
          <w:snapToGrid w:val="0"/>
          <w:w w:val="95"/>
          <w:sz w:val="32"/>
          <w:szCs w:val="32"/>
          <w:lang w:eastAsia="zh-CN"/>
        </w:rPr>
        <w:t>变动幅度不大。</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rPr>
      </w:pPr>
      <w:r>
        <w:rPr>
          <w:rFonts w:hint="eastAsia" w:ascii="楷体_GB2312" w:hAnsi="楷体_GB2312" w:eastAsia="楷体_GB2312" w:cs="楷体_GB2312"/>
          <w:snapToGrid w:val="0"/>
          <w:w w:val="95"/>
          <w:sz w:val="32"/>
          <w:szCs w:val="32"/>
        </w:rPr>
        <w:t>3.公务接待费。</w:t>
      </w:r>
      <w:r>
        <w:rPr>
          <w:rFonts w:hint="eastAsia" w:ascii="楷体_GB2312" w:hAnsi="楷体_GB2312" w:eastAsia="楷体_GB2312" w:cs="楷体_GB2312"/>
          <w:snapToGrid w:val="0"/>
          <w:w w:val="95"/>
          <w:sz w:val="32"/>
          <w:szCs w:val="32"/>
          <w:lang w:val="en-US" w:eastAsia="zh-CN"/>
        </w:rPr>
        <w:t>2025年年初预算数为1万元，同上年预算数一致</w:t>
      </w:r>
      <w:r>
        <w:rPr>
          <w:rFonts w:hint="eastAsia" w:ascii="仿宋_GB2312" w:hAnsi="仿宋_GB2312" w:eastAsia="仿宋_GB2312" w:cs="仿宋_GB2312"/>
          <w:snapToGrid w:val="0"/>
          <w:w w:val="95"/>
          <w:sz w:val="32"/>
          <w:szCs w:val="32"/>
        </w:rPr>
        <w:t>。</w:t>
      </w:r>
      <w:r>
        <w:rPr>
          <w:rFonts w:hint="eastAsia" w:ascii="仿宋_GB2312" w:hAnsi="仿宋_GB2312" w:eastAsia="仿宋_GB2312" w:cs="仿宋_GB2312"/>
          <w:snapToGrid w:val="0"/>
          <w:w w:val="95"/>
          <w:sz w:val="32"/>
          <w:szCs w:val="32"/>
          <w:lang w:val="en-US" w:eastAsia="zh-CN"/>
        </w:rPr>
        <w:t>2025年国内公务接待批次3批次，接待人数16人，共计支出0.32万元。</w:t>
      </w:r>
      <w:r>
        <w:rPr>
          <w:rFonts w:hint="eastAsia"/>
        </w:rPr>
        <w:t xml:space="preserve"> </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rPr>
      </w:pPr>
      <w:r>
        <w:rPr>
          <w:rFonts w:hint="eastAsia" w:ascii="黑体" w:hAnsi="黑体" w:eastAsia="黑体" w:cs="黑体"/>
          <w:sz w:val="32"/>
          <w:szCs w:val="32"/>
        </w:rPr>
        <w:t>二、部门整体支出绩效实现情况</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楷体_GB2312" w:eastAsia="楷体_GB2312"/>
          <w:b/>
          <w:bCs/>
          <w:color w:val="auto"/>
          <w:sz w:val="32"/>
          <w:szCs w:val="32"/>
        </w:rPr>
      </w:pPr>
      <w:r>
        <w:rPr>
          <w:rFonts w:hint="eastAsia" w:eastAsia="仿宋_GB2312"/>
          <w:sz w:val="32"/>
        </w:rPr>
        <w:t>部门在预算年度内，整体支出绩效目标基本完成。在履行职责过程中，经济性方面，合理控制了各项支出；效率性方面，各项工作按计划推进，部分工作提前完成；效果性方面，达到了预期的工作效果；公平性方面，确保了资源分配合理、服务对象公平享受服务。经综合评定，自评分数为</w:t>
      </w:r>
      <w:r>
        <w:rPr>
          <w:rFonts w:hint="eastAsia" w:eastAsia="仿宋_GB2312"/>
          <w:sz w:val="32"/>
          <w:lang w:val="en-US" w:eastAsia="zh-CN"/>
        </w:rPr>
        <w:t>88.27</w:t>
      </w:r>
      <w:r>
        <w:rPr>
          <w:rFonts w:hint="eastAsia" w:eastAsia="仿宋_GB2312"/>
          <w:sz w:val="32"/>
        </w:rPr>
        <w:t>分</w:t>
      </w:r>
      <w:r>
        <w:rPr>
          <w:rFonts w:hint="eastAsia" w:eastAsia="仿宋_GB2312"/>
          <w:sz w:val="32"/>
          <w:lang w:eastAsia="zh-CN"/>
        </w:rPr>
        <w:t>。</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hint="eastAsia"/>
        </w:rPr>
      </w:pPr>
      <w:r>
        <w:rPr>
          <w:rFonts w:hint="eastAsia" w:ascii="楷体_GB2312" w:eastAsia="楷体_GB2312"/>
          <w:b/>
          <w:bCs/>
          <w:color w:val="auto"/>
          <w:sz w:val="32"/>
          <w:szCs w:val="32"/>
        </w:rPr>
        <w:t>（一）履职完成情况</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1. 数量指标：全年案件及时处置指标完成度良好，年度审结案件完成率9.93%，因年初绩效指标设置偏差未达预期；法定审限内结案率97.25%，司法信访投诉处置、一审案件改判发回重审率均达到目标要求；执行案件相关工作按计划推进，年度预算执行率98.58%，预算执行落实到位。</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2. 质量指标：一审案件改判发回重审率控制在合理区间，案件审理、执行工作质量规范；信息化系统正常运转率99.50%，法院智慧办案、线上诉讼、司法公开等系统运行稳定，保障了线上办案、便民诉讼工作开展。</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rPr>
      </w:pPr>
      <w:r>
        <w:rPr>
          <w:rFonts w:hint="eastAsia" w:ascii="仿宋_GB2312" w:hAnsi="仿宋_GB2312" w:eastAsia="仿宋_GB2312" w:cs="仿宋_GB2312"/>
          <w:snapToGrid w:val="0"/>
          <w:w w:val="95"/>
          <w:sz w:val="32"/>
          <w:szCs w:val="32"/>
          <w:lang w:val="en-US" w:eastAsia="zh-CN"/>
        </w:rPr>
        <w:t>3. 时效指标：案件平均审理周期、执行案件平均执行周期均控制在目标范围内，办案时效管控到位，4.05%的一审案件改判发回重审率符合基层司法工作客观实际；除当事人上诉等不可控因素外，案件办理全流程时效管控规范。</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hint="eastAsia"/>
        </w:rPr>
      </w:pPr>
      <w:r>
        <w:rPr>
          <w:rFonts w:hint="eastAsia" w:ascii="楷体_GB2312" w:eastAsia="楷体_GB2312"/>
          <w:b/>
          <w:bCs/>
          <w:color w:val="auto"/>
          <w:sz w:val="32"/>
          <w:szCs w:val="32"/>
        </w:rPr>
        <w:t>（二）履职效果情况</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1. 社会效益：通过执行工作为当事人兑现案款金额3085.89万元，切实维护胜诉当事人合法权益；司法采购事项100%完成，先行调解成功率70.97%，有效分流诉讼案件、化解基层矛盾；干警廉政警示教育常态化开展，全年无重大廉政违纪问题，筑牢司法廉洁防线；依托司法审判化解民商事、行政纠纷，助力辖区社会治理、平安建设，维护区域法治秩序。</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rPr>
      </w:pPr>
      <w:r>
        <w:rPr>
          <w:rFonts w:hint="eastAsia" w:ascii="仿宋_GB2312" w:hAnsi="仿宋_GB2312" w:eastAsia="仿宋_GB2312" w:cs="仿宋_GB2312"/>
          <w:snapToGrid w:val="0"/>
          <w:w w:val="95"/>
          <w:sz w:val="32"/>
          <w:szCs w:val="32"/>
          <w:lang w:val="en-US" w:eastAsia="zh-CN"/>
        </w:rPr>
        <w:t>2. 可持续性影响：常态化开展警示教育、廉政建设，筑牢法院队伍纪律作风；稳步推进智慧法院建设、基层基础设施及信息化运维，持续夯实基层司法履职基础，保障法院长期稳定履职、司法工作可持续推进。</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hint="eastAsia" w:ascii="仿宋_GB2312" w:hAnsi="仿宋_GB2312" w:eastAsia="仿宋_GB2312" w:cs="仿宋_GB2312"/>
          <w:snapToGrid w:val="0"/>
          <w:w w:val="95"/>
          <w:sz w:val="32"/>
          <w:szCs w:val="32"/>
          <w:lang w:val="en-US" w:eastAsia="zh-CN"/>
        </w:rPr>
      </w:pPr>
      <w:r>
        <w:rPr>
          <w:rFonts w:hint="eastAsia" w:ascii="楷体_GB2312" w:eastAsia="楷体_GB2312"/>
          <w:b/>
          <w:bCs/>
          <w:color w:val="auto"/>
          <w:sz w:val="32"/>
          <w:szCs w:val="32"/>
        </w:rPr>
        <w:t>（三）社会满意度及可持续性影响</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rPr>
      </w:pPr>
      <w:r>
        <w:rPr>
          <w:rFonts w:hint="eastAsia" w:ascii="仿宋_GB2312" w:hAnsi="仿宋_GB2312" w:eastAsia="仿宋_GB2312" w:cs="仿宋_GB2312"/>
          <w:snapToGrid w:val="0"/>
          <w:w w:val="95"/>
          <w:sz w:val="32"/>
          <w:szCs w:val="32"/>
          <w:lang w:val="en-US" w:eastAsia="zh-CN"/>
        </w:rPr>
        <w:t>全年干警年度培训覆盖率82.50%，队伍综合履职能力稳步提升；当事人满意度综合得分、律师满意度均达到年度目标值，诉讼群众、法律服务对象对我院立案、审判、执行、诉讼服务等工作认可度较高。实际参与各类培训59场次，覆盖33人次，培训主体40人，干警专业能力持续提升；整体司法服务体系、智慧法院平台、矛盾化解机制长效运行，为长期履行司法职能、服务辖区群众提供稳定支撑。</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rPr>
      </w:pPr>
      <w:r>
        <w:rPr>
          <w:rFonts w:hint="eastAsia" w:ascii="黑体" w:hAnsi="黑体" w:eastAsia="黑体" w:cs="黑体"/>
          <w:sz w:val="32"/>
          <w:szCs w:val="32"/>
        </w:rPr>
        <w:t>三、部门整体支出绩效中存在问题及改进措施</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hint="eastAsia"/>
        </w:rPr>
      </w:pPr>
      <w:r>
        <w:rPr>
          <w:rFonts w:hint="eastAsia" w:ascii="楷体_GB2312" w:eastAsia="楷体_GB2312"/>
          <w:b/>
          <w:bCs/>
          <w:color w:val="auto"/>
          <w:sz w:val="32"/>
          <w:szCs w:val="32"/>
        </w:rPr>
        <w:t>（一）主要问题及原因分析</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1. 部分年度绩效指标年初设置不够科学精准，年度审结案件完成率未达预期，存在指标与年度实际办案节奏、司法工作客观规律匹配度不足的问题。</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2. 受当事人上诉、二审发回等客观不可控因素影响，一审案件存在少量改判发回重审情况，案件质量管控仍有提升空间。</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3. 干警年度培训覆盖率未达到目标要求，部分干警因办案任务繁重、外出办案等原因参与培训不足，队伍常态化学习提升机制需进一步优化。</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rPr>
      </w:pPr>
      <w:r>
        <w:rPr>
          <w:rFonts w:hint="eastAsia" w:ascii="仿宋_GB2312" w:hAnsi="仿宋_GB2312" w:eastAsia="仿宋_GB2312" w:cs="仿宋_GB2312"/>
          <w:snapToGrid w:val="0"/>
          <w:w w:val="95"/>
          <w:sz w:val="32"/>
          <w:szCs w:val="32"/>
          <w:lang w:val="en-US" w:eastAsia="zh-CN"/>
        </w:rPr>
        <w:t>4. 先行调解成功率、干警培训覆盖率仍有提升空间，矛盾前端化解力度、队伍能力建设精细化程度有待加强。</w:t>
      </w:r>
    </w:p>
    <w:p>
      <w:pPr>
        <w:keepNext w:val="0"/>
        <w:keepLines w:val="0"/>
        <w:pageBreakBefore w:val="0"/>
        <w:widowControl w:val="0"/>
        <w:kinsoku/>
        <w:wordWrap/>
        <w:overflowPunct/>
        <w:topLinePunct w:val="0"/>
        <w:autoSpaceDE/>
        <w:autoSpaceDN/>
        <w:bidi w:val="0"/>
        <w:adjustRightInd/>
        <w:spacing w:line="560" w:lineRule="exact"/>
        <w:ind w:left="0" w:firstLine="643" w:firstLineChars="200"/>
        <w:textAlignment w:val="auto"/>
        <w:rPr>
          <w:rFonts w:hint="eastAsia"/>
        </w:rPr>
      </w:pPr>
      <w:r>
        <w:rPr>
          <w:rFonts w:hint="eastAsia" w:ascii="楷体_GB2312" w:eastAsia="楷体_GB2312"/>
          <w:b/>
          <w:bCs/>
          <w:color w:val="auto"/>
          <w:sz w:val="32"/>
          <w:szCs w:val="32"/>
        </w:rPr>
        <w:t>（二）改进的方向和具体措施</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1. 优化绩效指标编制工作。下一年度结合基层法院办案规律、年度司法工作重点，科学测算、精准设置绩效指标，强化事前研判，提升绩效目标与实际工作的契合度，避免指标偏差问题。</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2. 深化案件质量管控。强化案件全流程监督管理，规范庭审程序、文书制作、裁判说理，加强案件合议、评查力度；加强与当事人沟通释法明理，从源头减少上诉、发回改判情形，持续提升案件审判质量。</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3. 完善干警培训机制。结合办案实际推行线上线下结合、错峰培训模式，合理安排培训时间，保障干警参训率；聚焦审判、执行、调解、信息化应用等重点领域开展精准化培训，全面提升干警履职能力。</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4. 加大诉源治理与前端化解力度。深化一站式多元解纷机制，加强诉前调解、行业调解联动，提升先行调解成功率；常态化开展廉政教育、纪律作风建设，持续规范司法行为，提升司法公信力。</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rPr>
          <w:rFonts w:hint="eastAsia" w:ascii="仿宋_GB2312" w:hAnsi="仿宋_GB2312" w:eastAsia="仿宋_GB2312" w:cs="仿宋_GB2312"/>
          <w:snapToGrid w:val="0"/>
          <w:w w:val="95"/>
          <w:sz w:val="32"/>
          <w:szCs w:val="32"/>
          <w:lang w:val="en-US" w:eastAsia="zh-CN"/>
        </w:rPr>
      </w:pPr>
      <w:r>
        <w:rPr>
          <w:rFonts w:hint="eastAsia" w:ascii="仿宋_GB2312" w:hAnsi="仿宋_GB2312" w:eastAsia="仿宋_GB2312" w:cs="仿宋_GB2312"/>
          <w:snapToGrid w:val="0"/>
          <w:w w:val="95"/>
          <w:sz w:val="32"/>
          <w:szCs w:val="32"/>
          <w:lang w:val="en-US" w:eastAsia="zh-CN"/>
        </w:rPr>
        <w:t>5. 强化预算执行全过程管控。细化资金使用计划，动态跟踪预算执行与绩效目标落实，确保资金使用高效合规，进一步提升部门整体支出绩效水平。</w:t>
      </w:r>
    </w:p>
    <w:p>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四、绩效自评结果拟应用和公开情况</w:t>
      </w:r>
    </w:p>
    <w:p>
      <w:pPr>
        <w:keepNext w:val="0"/>
        <w:keepLines w:val="0"/>
        <w:pageBreakBefore w:val="0"/>
        <w:widowControl w:val="0"/>
        <w:kinsoku/>
        <w:wordWrap/>
        <w:overflowPunct/>
        <w:topLinePunct w:val="0"/>
        <w:autoSpaceDE/>
        <w:autoSpaceDN/>
        <w:bidi w:val="0"/>
        <w:adjustRightInd/>
        <w:snapToGrid/>
        <w:spacing w:line="560" w:lineRule="exact"/>
        <w:ind w:left="0" w:firstLine="608" w:firstLineChars="200"/>
        <w:textAlignment w:val="auto"/>
      </w:pPr>
      <w:r>
        <w:rPr>
          <w:rFonts w:hint="eastAsia" w:ascii="仿宋_GB2312" w:hAnsi="仿宋_GB2312" w:eastAsia="仿宋_GB2312" w:cs="仿宋_GB2312"/>
          <w:snapToGrid w:val="0"/>
          <w:w w:val="95"/>
          <w:sz w:val="32"/>
          <w:szCs w:val="32"/>
          <w:lang w:val="en-US" w:eastAsia="zh-CN"/>
        </w:rPr>
        <w:t>本次部门整体支出绩效自评结果将作为我院下一年度预算编制、资金分配、工作考核的重要依据，针对自评发现的问题，逐项制定整改台账、限期整改落实，将绩效改进融入日常司法管理工作。同时，严格按照财政信息公开相关规定，依法依规将本次部门整体支出绩效自评报告及相关绩效信息，在指定平台进行公开，主动接受社会监督，持续提升预算绩效管理规范化、公开化水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仿宋_GB2312"/>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lYWJhY2VjNzkwMDg3ZmJiZGIzYzZmMzQ3MjNiYzEifQ=="/>
  </w:docVars>
  <w:rsids>
    <w:rsidRoot w:val="00000000"/>
    <w:rsid w:val="3FB46D75"/>
    <w:rsid w:val="47D96ED2"/>
    <w:rsid w:val="5CE56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4174</Words>
  <Characters>4445</Characters>
  <Lines>0</Lines>
  <Paragraphs>0</Paragraphs>
  <TotalTime>4</TotalTime>
  <ScaleCrop>false</ScaleCrop>
  <LinksUpToDate>false</LinksUpToDate>
  <CharactersWithSpaces>4512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2026-05-12T08:59:00Z</dcterms:created>
  <dc:creator>Administrator</dc:creator>
  <cp:lastModifiedBy>Administrator</cp:lastModifiedBy>
  <cp:lastPrinted>2026-05-13T02:21:00Z</cp:lastPrinted>
  <dcterms:modified xsi:type="dcterms:W3CDTF">2026-09-29T08:01:15Z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KSOTemplateDocerSaveRecord">
    <vt:lpwstr>eyJoZGlkIjoiMjk3MTkyNjZjMjJiYTUyYzRlNTk2NTk0OTA3ZDU0YWQiLCJ1c2VySWQiOiIzNDE5NTIxMDQifQ==</vt:lpwstr>
  </property>
  <property fmtid="{D5CDD505-2E9C-101B-9397-08002B2CF9AE}" pid="4" name="ICV">
    <vt:lpwstr>3D003606CE584D568854A860278FBAE3_12</vt:lpwstr>
  </property>
</Properties>
</file>