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eastAsia="黑体"/>
          <w:b/>
          <w:sz w:val="48"/>
          <w:szCs w:val="48"/>
          <w:highlight w:val="none"/>
        </w:rPr>
      </w:pPr>
      <w:bookmarkStart w:id="0" w:name="_Toc27712"/>
      <w:bookmarkStart w:id="1" w:name="_Hlk104273075"/>
      <w:r>
        <w:rPr>
          <w:rFonts w:hint="eastAsia" w:ascii="黑体" w:eastAsia="黑体"/>
          <w:b/>
          <w:sz w:val="48"/>
          <w:szCs w:val="48"/>
          <w:highlight w:val="none"/>
        </w:rPr>
        <w:t>陕西丰汇韵嘉会计师事务所</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b/>
          <w:sz w:val="48"/>
          <w:szCs w:val="48"/>
          <w:highlight w:val="none"/>
        </w:rPr>
      </w:pPr>
      <w:bookmarkStart w:id="2" w:name="_Toc25952"/>
      <w:r>
        <w:rPr>
          <w:rFonts w:hint="eastAsia" w:ascii="黑体" w:eastAsia="黑体"/>
          <w:b/>
          <w:sz w:val="48"/>
          <w:szCs w:val="48"/>
          <w:highlight w:val="none"/>
        </w:rPr>
        <w:t>合伙企业（普通合伙）</w:t>
      </w:r>
      <w:bookmarkEnd w:id="2"/>
    </w:p>
    <w:bookmarkEnd w:id="1"/>
    <w:p>
      <w:pPr>
        <w:keepNext w:val="0"/>
        <w:keepLines w:val="0"/>
        <w:pageBreakBefore w:val="0"/>
        <w:widowControl w:val="0"/>
        <w:pBdr>
          <w:bottom w:val="single" w:color="auto" w:sz="6" w:space="1"/>
        </w:pBdr>
        <w:kinsoku/>
        <w:wordWrap/>
        <w:overflowPunct/>
        <w:topLinePunct w:val="0"/>
        <w:autoSpaceDE/>
        <w:autoSpaceDN/>
        <w:bidi w:val="0"/>
        <w:adjustRightInd/>
        <w:snapToGrid/>
        <w:jc w:val="center"/>
        <w:textAlignment w:val="auto"/>
        <w:outlineLvl w:val="9"/>
        <w:rPr>
          <w:rFonts w:hint="eastAsia" w:ascii="宋体" w:hAnsi="宋体"/>
          <w:b/>
          <w:highlight w:val="none"/>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600" w:lineRule="exact"/>
        <w:jc w:val="center"/>
        <w:textAlignment w:val="auto"/>
        <w:outlineLvl w:val="9"/>
        <w:rPr>
          <w:rFonts w:hint="eastAsia" w:ascii="宋体" w:hAnsi="宋体" w:cs="宋体"/>
          <w:b/>
          <w:sz w:val="24"/>
          <w:highlight w:val="none"/>
        </w:rPr>
      </w:pPr>
      <w:r>
        <w:rPr>
          <w:rFonts w:hint="eastAsia" w:ascii="仿宋" w:hAnsi="仿宋" w:eastAsia="仿宋" w:cs="仿宋"/>
          <w:b/>
          <w:sz w:val="32"/>
          <w:szCs w:val="32"/>
          <w:highlight w:val="none"/>
        </w:rPr>
        <w:t>陕西丰汇</w:t>
      </w:r>
      <w:r>
        <w:rPr>
          <w:rFonts w:hint="eastAsia" w:ascii="仿宋" w:hAnsi="仿宋" w:eastAsia="仿宋" w:cs="仿宋"/>
          <w:b/>
          <w:sz w:val="32"/>
          <w:szCs w:val="32"/>
          <w:highlight w:val="none"/>
          <w:lang w:val="en-US" w:eastAsia="zh-CN"/>
        </w:rPr>
        <w:t>咨</w:t>
      </w:r>
      <w:r>
        <w:rPr>
          <w:rFonts w:hint="eastAsia" w:ascii="仿宋" w:hAnsi="仿宋" w:eastAsia="仿宋" w:cs="仿宋"/>
          <w:b/>
          <w:sz w:val="32"/>
          <w:szCs w:val="32"/>
          <w:highlight w:val="none"/>
        </w:rPr>
        <w:t>字〔2024〕第</w:t>
      </w:r>
      <w:r>
        <w:rPr>
          <w:rFonts w:hint="eastAsia" w:ascii="仿宋" w:hAnsi="仿宋" w:eastAsia="仿宋" w:cs="仿宋"/>
          <w:b/>
          <w:sz w:val="32"/>
          <w:szCs w:val="32"/>
          <w:highlight w:val="none"/>
          <w:lang w:val="en-US" w:eastAsia="zh-CN"/>
        </w:rPr>
        <w:t>146</w:t>
      </w:r>
      <w:r>
        <w:rPr>
          <w:rFonts w:hint="eastAsia" w:ascii="仿宋" w:hAnsi="仿宋" w:eastAsia="仿宋" w:cs="仿宋"/>
          <w:b/>
          <w:sz w:val="32"/>
          <w:szCs w:val="32"/>
          <w:highlight w:val="none"/>
        </w:rPr>
        <w:t>号</w:t>
      </w:r>
    </w:p>
    <w:p>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36"/>
          <w:highlight w:val="none"/>
          <w:lang w:val="en-US" w:eastAsia="zh-CN" w:bidi="ar"/>
        </w:rPr>
      </w:pPr>
      <w:r>
        <w:rPr>
          <w:rFonts w:hint="eastAsia" w:ascii="仿宋" w:hAnsi="仿宋" w:eastAsia="仿宋" w:cs="仿宋"/>
          <w:b/>
          <w:bCs/>
          <w:sz w:val="36"/>
          <w:szCs w:val="36"/>
          <w:highlight w:val="none"/>
          <w:lang w:val="en-US" w:eastAsia="zh-CN" w:bidi="ar"/>
        </w:rPr>
        <w:t>林芝市地震局</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36"/>
          <w:highlight w:val="none"/>
          <w:lang w:bidi="ar"/>
        </w:rPr>
      </w:pPr>
      <w:r>
        <w:rPr>
          <w:rFonts w:hint="eastAsia" w:ascii="仿宋" w:hAnsi="仿宋" w:eastAsia="仿宋" w:cs="仿宋"/>
          <w:b/>
          <w:bCs/>
          <w:sz w:val="36"/>
          <w:szCs w:val="36"/>
          <w:highlight w:val="none"/>
          <w:lang w:bidi="ar"/>
        </w:rPr>
        <w:t>2023年度部门整体支出绩效评价报告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spacing w:val="85"/>
          <w:sz w:val="28"/>
          <w:szCs w:val="28"/>
          <w:highlight w:val="none"/>
        </w:rPr>
      </w:pPr>
      <w:r>
        <w:rPr>
          <w:rFonts w:hint="eastAsia" w:ascii="宋体" w:hAnsi="宋体" w:cs="宋体"/>
          <w:b/>
          <w:bCs/>
          <w:spacing w:val="85"/>
          <w:sz w:val="28"/>
          <w:szCs w:val="28"/>
          <w:highlight w:val="none"/>
          <w:lang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spacing w:val="85"/>
          <w:sz w:val="24"/>
          <w:highlight w:val="none"/>
        </w:rPr>
      </w:pPr>
      <w:r>
        <w:rPr>
          <w:rFonts w:hint="eastAsia" w:ascii="宋体" w:hAnsi="宋体" w:cs="宋体"/>
          <w:spacing w:val="85"/>
          <w:sz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宋体" w:hAnsi="宋体" w:cs="宋体"/>
          <w:sz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ind w:firstLine="1200" w:firstLineChars="500"/>
        <w:jc w:val="left"/>
        <w:textAlignment w:val="auto"/>
        <w:outlineLvl w:val="9"/>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委托单位</w:t>
      </w:r>
      <w:r>
        <w:rPr>
          <w:rFonts w:hint="eastAsia" w:ascii="宋体" w:hAnsi="宋体" w:cs="宋体"/>
          <w:sz w:val="24"/>
          <w:highlight w:val="none"/>
          <w:lang w:bidi="ar"/>
        </w:rPr>
        <w:t>：林芝市</w:t>
      </w:r>
      <w:r>
        <w:rPr>
          <w:rFonts w:hint="eastAsia" w:ascii="宋体" w:hAnsi="宋体" w:cs="宋体"/>
          <w:sz w:val="24"/>
          <w:highlight w:val="none"/>
          <w:lang w:val="en-US" w:eastAsia="zh-CN" w:bidi="ar"/>
        </w:rPr>
        <w:t>财政局</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ind w:firstLine="1200" w:firstLineChars="500"/>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评价机构：陕西丰汇韵嘉会计师事务所合伙企业（普通合伙）</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Calibri" w:eastAsia="仿宋_GB2312" w:cs="仿宋_GB2312"/>
          <w:sz w:val="32"/>
          <w:szCs w:val="32"/>
          <w:highlight w:val="none"/>
          <w:lang w:bidi="ar"/>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eastAsia="仿宋_GB2312" w:cs="仿宋_GB2312"/>
          <w:sz w:val="32"/>
          <w:szCs w:val="32"/>
          <w:highlight w:val="none"/>
        </w:rPr>
      </w:pPr>
      <w:r>
        <w:rPr>
          <w:rFonts w:ascii="仿宋_GB2312" w:hAnsi="Calibri" w:eastAsia="仿宋_GB2312" w:cs="仿宋_GB2312"/>
          <w:sz w:val="32"/>
          <w:szCs w:val="32"/>
          <w:highlight w:val="none"/>
          <w:lang w:bidi="ar"/>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2024年</w:t>
      </w:r>
      <w:r>
        <w:rPr>
          <w:rFonts w:hint="eastAsia" w:ascii="宋体" w:hAnsi="宋体" w:cs="宋体"/>
          <w:sz w:val="24"/>
          <w:szCs w:val="24"/>
          <w:highlight w:val="none"/>
          <w:lang w:val="en-US" w:eastAsia="zh-CN" w:bidi="ar"/>
        </w:rPr>
        <w:t>7</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26</w:t>
      </w:r>
      <w:r>
        <w:rPr>
          <w:rFonts w:hint="eastAsia" w:ascii="宋体" w:hAnsi="宋体" w:eastAsia="宋体" w:cs="宋体"/>
          <w:sz w:val="24"/>
          <w:szCs w:val="24"/>
          <w:highlight w:val="none"/>
          <w:lang w:bidi="ar"/>
        </w:rPr>
        <w:t>日</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b/>
          <w:bCs/>
          <w:sz w:val="28"/>
          <w:szCs w:val="28"/>
          <w:highlight w:val="none"/>
        </w:rPr>
      </w:pPr>
      <w:r>
        <w:rPr>
          <w:rFonts w:hint="eastAsia" w:ascii="宋体" w:hAnsi="宋体" w:cs="宋体"/>
          <w:b/>
          <w:bCs/>
          <w:sz w:val="28"/>
          <w:szCs w:val="28"/>
          <w:highlight w:val="none"/>
          <w:lang w:bidi="ar"/>
        </w:rPr>
        <w:t xml:space="preserve">  </w:t>
      </w:r>
    </w:p>
    <w:p>
      <w:pPr>
        <w:rPr>
          <w:rFonts w:ascii="Calibri" w:hAnsi="Calibri"/>
          <w:szCs w:val="21"/>
          <w:highlight w:val="none"/>
        </w:rPr>
      </w:pPr>
      <w:r>
        <w:rPr>
          <w:rFonts w:ascii="Calibri" w:hAnsi="Calibri"/>
          <w:szCs w:val="21"/>
          <w:highlight w:val="none"/>
          <w:lang w:bidi="ar"/>
        </w:rPr>
        <w:t xml:space="preserve"> </w:t>
      </w:r>
    </w:p>
    <w:p>
      <w:pPr>
        <w:rPr>
          <w:rFonts w:ascii="Calibri" w:hAnsi="Calibri"/>
          <w:szCs w:val="21"/>
          <w:highlight w:val="none"/>
        </w:rPr>
      </w:pPr>
      <w:r>
        <w:rPr>
          <w:rFonts w:ascii="Calibri" w:hAnsi="Calibri"/>
          <w:szCs w:val="21"/>
          <w:highlight w:val="none"/>
          <w:lang w:bidi="ar"/>
        </w:rPr>
        <w:t xml:space="preserve"> </w:t>
      </w:r>
    </w:p>
    <w:p>
      <w:pPr>
        <w:rPr>
          <w:rFonts w:hint="eastAsia" w:ascii="微软雅黑" w:hAnsi="微软雅黑" w:eastAsia="微软雅黑" w:cs="微软雅黑"/>
          <w:color w:val="000000"/>
          <w:sz w:val="27"/>
          <w:szCs w:val="27"/>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p>
    <w:p>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_Toc3253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一、 </w:t>
      </w:r>
      <w:r>
        <w:rPr>
          <w:rFonts w:hint="eastAsia" w:ascii="仿宋" w:hAnsi="仿宋" w:eastAsia="仿宋" w:cs="仿宋"/>
          <w:bCs/>
          <w:sz w:val="24"/>
          <w:szCs w:val="24"/>
          <w:highlight w:val="none"/>
          <w:lang w:bidi="ar"/>
        </w:rPr>
        <w:t>部门基本情况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_Toc4772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（一）部门主要职能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_Toc4772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_Toc25584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（二）机构设置情况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_Toc25584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_Toc5238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（三）人员编制情况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_Toc5238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_Toc27801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（四）年度总体工作和重点工作任务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_Toc27801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_Toc25152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（五）部门预算批复及整体支出安排情况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_Toc25152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_Toc5512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_Toc5512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_Toc21416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（一）绩效评价目的、对象和范围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_Toc21416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_Toc4944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val="en"/>
        </w:rPr>
        <w:t>（</w:t>
      </w: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en-US" w:eastAsia="zh-CN"/>
        </w:rPr>
        <w:t>评价依据、</w:t>
      </w:r>
      <w:r>
        <w:rPr>
          <w:rFonts w:hint="eastAsia" w:ascii="仿宋" w:hAnsi="仿宋" w:eastAsia="仿宋" w:cs="仿宋"/>
          <w:bCs/>
          <w:sz w:val="24"/>
          <w:szCs w:val="24"/>
          <w:highlight w:val="none"/>
          <w:lang w:val="en"/>
        </w:rPr>
        <w:t>绩效评价原则、评价方法、评价标准、评价指标体系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_Toc4944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_Toc8303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（三）绩效评价工作过程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_Toc8303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_Toc9792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三、综合评价情况及评价结论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_Toc9792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_Toc6383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四、绩效评价指标分析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_Toc6383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_Toc20844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（一）项目投入情况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_Toc20844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_Toc24460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（二）项目过程情况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_Toc24460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_Toc4825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（三）项目产出情况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_Toc4825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_Toc4762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（四）部门效益情况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_Toc4762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_Toc28236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val="en-US" w:eastAsia="zh-CN" w:bidi="ar"/>
        </w:rPr>
        <w:t xml:space="preserve">五、 </w:t>
      </w:r>
      <w:r>
        <w:rPr>
          <w:rFonts w:hint="eastAsia" w:ascii="仿宋" w:hAnsi="仿宋" w:eastAsia="仿宋" w:cs="仿宋"/>
          <w:sz w:val="24"/>
          <w:szCs w:val="24"/>
          <w:highlight w:val="none"/>
        </w:rPr>
        <w:t>主要问题分析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_Toc28236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_Toc4745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（一）人员编制方面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_Toc4745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_Toc26441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（二）固定资产管理方面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_Toc26441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_Toc11859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六、 </w:t>
      </w:r>
      <w:r>
        <w:rPr>
          <w:rFonts w:hint="eastAsia" w:ascii="仿宋" w:hAnsi="仿宋" w:eastAsia="仿宋" w:cs="仿宋"/>
          <w:sz w:val="24"/>
          <w:szCs w:val="24"/>
          <w:highlight w:val="none"/>
        </w:rPr>
        <w:t>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_Toc11859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_Toc11328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（一） </w:t>
      </w:r>
      <w:r>
        <w:rPr>
          <w:rFonts w:hint="eastAsia" w:ascii="仿宋" w:hAnsi="仿宋" w:eastAsia="仿宋" w:cs="仿宋"/>
          <w:sz w:val="24"/>
          <w:szCs w:val="24"/>
          <w:highlight w:val="none"/>
          <w:lang w:val="en-US" w:eastAsia="zh-CN" w:bidi="ar"/>
        </w:rPr>
        <w:t>人员编制方面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_Toc11328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_Toc4229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（二） </w:t>
      </w:r>
      <w:r>
        <w:rPr>
          <w:rFonts w:hint="eastAsia" w:ascii="仿宋" w:hAnsi="仿宋" w:eastAsia="仿宋" w:cs="仿宋"/>
          <w:sz w:val="24"/>
          <w:szCs w:val="24"/>
          <w:highlight w:val="none"/>
          <w:lang w:val="en-US" w:eastAsia="zh-CN" w:bidi="ar"/>
        </w:rPr>
        <w:t>固定资产管理方面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_Toc4229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_Toc1027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七、 </w:t>
      </w:r>
      <w:r>
        <w:rPr>
          <w:rFonts w:hint="eastAsia" w:ascii="仿宋" w:hAnsi="仿宋" w:eastAsia="仿宋" w:cs="仿宋"/>
          <w:bCs/>
          <w:sz w:val="24"/>
          <w:szCs w:val="24"/>
          <w:highlight w:val="none"/>
          <w:lang w:val="en-US" w:eastAsia="zh-CN"/>
        </w:rPr>
        <w:t>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_Toc1027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_Toc22869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附件：</w:t>
      </w:r>
      <w:r>
        <w:rPr>
          <w:rFonts w:hint="eastAsia" w:ascii="仿宋" w:hAnsi="仿宋" w:eastAsia="仿宋" w:cs="仿宋"/>
          <w:bCs/>
          <w:kern w:val="2"/>
          <w:sz w:val="24"/>
          <w:szCs w:val="24"/>
          <w:highlight w:val="none"/>
          <w:lang w:bidi="ar"/>
        </w:rPr>
        <w:t>绩效评价指标体系框架打分表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_Toc22869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end"/>
      </w:r>
    </w:p>
    <w:p>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pPr>
    </w:p>
    <w:p>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sectPr>
          <w:footerReference r:id="rId4"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pPr>
    </w:p>
    <w:p>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lang w:val="en-US" w:eastAsia="zh-CN" w:bidi="ar"/>
        </w:rPr>
      </w:pPr>
      <w:r>
        <w:rPr>
          <w:rFonts w:hint="eastAsia" w:ascii="仿宋" w:hAnsi="仿宋" w:eastAsia="仿宋" w:cs="仿宋"/>
          <w:b/>
          <w:bCs/>
          <w:color w:val="000000"/>
          <w:sz w:val="32"/>
          <w:szCs w:val="32"/>
          <w:highlight w:val="none"/>
          <w:lang w:val="en-US" w:bidi="ar"/>
        </w:rPr>
        <w:t>林芝市</w:t>
      </w:r>
      <w:r>
        <w:rPr>
          <w:rFonts w:hint="eastAsia" w:ascii="仿宋" w:hAnsi="仿宋" w:eastAsia="仿宋" w:cs="仿宋"/>
          <w:b/>
          <w:bCs/>
          <w:color w:val="000000"/>
          <w:sz w:val="32"/>
          <w:szCs w:val="32"/>
          <w:highlight w:val="none"/>
          <w:lang w:val="en-US" w:eastAsia="zh-CN" w:bidi="ar"/>
        </w:rPr>
        <w:t>地震局</w:t>
      </w:r>
    </w:p>
    <w:p>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2023年度</w:t>
      </w:r>
      <w:bookmarkStart w:id="3" w:name="_Toc29384"/>
      <w:r>
        <w:rPr>
          <w:rFonts w:hint="eastAsia" w:ascii="仿宋" w:hAnsi="仿宋" w:eastAsia="仿宋" w:cs="仿宋"/>
          <w:b/>
          <w:bCs/>
          <w:sz w:val="32"/>
          <w:szCs w:val="32"/>
          <w:highlight w:val="none"/>
          <w:lang w:bidi="ar"/>
        </w:rPr>
        <w:t>部门整体绩效评价报告</w:t>
      </w:r>
      <w:bookmarkEnd w:id="3"/>
    </w:p>
    <w:p>
      <w:pPr>
        <w:keepNext w:val="0"/>
        <w:keepLines w:val="0"/>
        <w:pageBreakBefore w:val="0"/>
        <w:widowControl w:val="0"/>
        <w:kinsoku/>
        <w:wordWrap/>
        <w:overflowPunct/>
        <w:topLinePunct w:val="0"/>
        <w:autoSpaceDE/>
        <w:autoSpaceDN/>
        <w:bidi w:val="0"/>
        <w:adjustRightInd/>
        <w:snapToGrid/>
        <w:spacing w:before="165" w:beforeLines="50" w:beforeAutospacing="0" w:after="165" w:afterLines="50" w:afterAutospacing="0" w:line="360" w:lineRule="auto"/>
        <w:ind w:firstLine="0" w:firstLineChars="0"/>
        <w:jc w:val="left"/>
        <w:textAlignment w:val="auto"/>
        <w:outlineLvl w:val="9"/>
        <w:rPr>
          <w:rFonts w:hint="eastAsia" w:ascii="仿宋" w:hAnsi="仿宋" w:eastAsia="仿宋" w:cs="仿宋"/>
          <w:b w:val="0"/>
          <w:bCs w:val="0"/>
          <w:color w:val="000000"/>
          <w:sz w:val="32"/>
          <w:szCs w:val="32"/>
          <w:highlight w:val="none"/>
          <w:lang w:val="en-US"/>
        </w:rPr>
      </w:pPr>
      <w:bookmarkStart w:id="4" w:name="_Toc16748"/>
      <w:r>
        <w:rPr>
          <w:rFonts w:hint="eastAsia" w:ascii="仿宋" w:hAnsi="仿宋" w:eastAsia="仿宋" w:cs="仿宋"/>
          <w:b w:val="0"/>
          <w:bCs w:val="0"/>
          <w:color w:val="000000"/>
          <w:sz w:val="32"/>
          <w:szCs w:val="32"/>
          <w:highlight w:val="none"/>
          <w:lang w:val="en-US"/>
        </w:rPr>
        <w:t>林芝市财政局</w:t>
      </w:r>
      <w:r>
        <w:rPr>
          <w:rFonts w:hint="eastAsia" w:ascii="仿宋" w:hAnsi="仿宋" w:eastAsia="仿宋" w:cs="仿宋"/>
          <w:b w:val="0"/>
          <w:bCs w:val="0"/>
          <w:color w:val="000000"/>
          <w:sz w:val="32"/>
          <w:szCs w:val="32"/>
          <w:highlight w:val="none"/>
          <w:lang w:val="en-US" w:eastAsia="zh-CN"/>
        </w:rPr>
        <w:t>：</w:t>
      </w:r>
      <w:bookmarkEnd w:id="4"/>
    </w:p>
    <w:p>
      <w:pPr>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jc w:val="left"/>
        <w:textAlignment w:val="auto"/>
        <w:outlineLvl w:val="9"/>
        <w:rPr>
          <w:rFonts w:hint="eastAsia" w:ascii="仿宋" w:hAnsi="仿宋" w:eastAsia="仿宋" w:cs="仿宋"/>
          <w:sz w:val="32"/>
          <w:szCs w:val="32"/>
          <w:highlight w:val="none"/>
          <w:lang w:bidi="ar"/>
        </w:rPr>
      </w:pPr>
      <w:bookmarkStart w:id="5" w:name="_Toc3418"/>
      <w:r>
        <w:rPr>
          <w:rFonts w:hint="eastAsia" w:ascii="仿宋" w:hAnsi="仿宋" w:eastAsia="仿宋" w:cs="仿宋"/>
          <w:b w:val="0"/>
          <w:bCs w:val="0"/>
          <w:color w:val="000000"/>
          <w:sz w:val="32"/>
          <w:szCs w:val="32"/>
          <w:highlight w:val="none"/>
          <w:lang w:val="en-US"/>
        </w:rPr>
        <w:t>我们接受贵单位委托，对林芝市</w:t>
      </w:r>
      <w:r>
        <w:rPr>
          <w:rFonts w:hint="eastAsia" w:ascii="仿宋" w:hAnsi="仿宋" w:eastAsia="仿宋" w:cs="仿宋"/>
          <w:b w:val="0"/>
          <w:bCs w:val="0"/>
          <w:color w:val="000000"/>
          <w:sz w:val="32"/>
          <w:szCs w:val="32"/>
          <w:highlight w:val="none"/>
          <w:lang w:val="en-US" w:eastAsia="zh-CN"/>
        </w:rPr>
        <w:t>地震局</w:t>
      </w:r>
      <w:r>
        <w:rPr>
          <w:rFonts w:hint="eastAsia" w:ascii="仿宋" w:hAnsi="仿宋" w:eastAsia="仿宋" w:cs="仿宋"/>
          <w:b w:val="0"/>
          <w:bCs w:val="0"/>
          <w:i w:val="0"/>
          <w:iCs w:val="0"/>
          <w:caps w:val="0"/>
          <w:color w:val="000000"/>
          <w:spacing w:val="0"/>
          <w:kern w:val="0"/>
          <w:sz w:val="32"/>
          <w:szCs w:val="32"/>
        </w:rPr>
        <w:t>(以下简称:“</w:t>
      </w:r>
      <w:r>
        <w:rPr>
          <w:rFonts w:hint="eastAsia" w:ascii="仿宋" w:hAnsi="仿宋" w:eastAsia="仿宋" w:cs="仿宋"/>
          <w:b w:val="0"/>
          <w:bCs w:val="0"/>
          <w:i w:val="0"/>
          <w:iCs w:val="0"/>
          <w:caps w:val="0"/>
          <w:color w:val="000000"/>
          <w:spacing w:val="0"/>
          <w:kern w:val="0"/>
          <w:sz w:val="32"/>
          <w:szCs w:val="32"/>
          <w:lang w:val="en-US" w:eastAsia="zh-CN"/>
        </w:rPr>
        <w:t>市地震局</w:t>
      </w:r>
      <w:r>
        <w:rPr>
          <w:rFonts w:hint="eastAsia" w:ascii="仿宋" w:hAnsi="仿宋" w:eastAsia="仿宋" w:cs="仿宋"/>
          <w:b w:val="0"/>
          <w:bCs w:val="0"/>
          <w:i w:val="0"/>
          <w:iCs w:val="0"/>
          <w:caps w:val="0"/>
          <w:color w:val="000000"/>
          <w:spacing w:val="0"/>
          <w:kern w:val="0"/>
          <w:sz w:val="32"/>
          <w:szCs w:val="32"/>
        </w:rPr>
        <w:t>”)</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年1月1日</w:t>
      </w:r>
      <w:r>
        <w:rPr>
          <w:rFonts w:hint="eastAsia" w:ascii="仿宋" w:hAnsi="仿宋" w:eastAsia="仿宋" w:cs="仿宋"/>
          <w:b w:val="0"/>
          <w:bCs w:val="0"/>
          <w:color w:val="000000"/>
          <w:sz w:val="32"/>
          <w:szCs w:val="32"/>
          <w:highlight w:val="none"/>
          <w:lang w:val="en-US" w:eastAsia="zh-CN"/>
        </w:rPr>
        <w:t>至</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年12月31日本级财政预算资金整体支出进行绩效评价，</w:t>
      </w:r>
      <w:r>
        <w:rPr>
          <w:rFonts w:hint="eastAsia" w:ascii="仿宋" w:hAnsi="仿宋" w:eastAsia="仿宋" w:cs="仿宋"/>
          <w:b w:val="0"/>
          <w:bCs w:val="0"/>
          <w:color w:val="000000"/>
          <w:sz w:val="32"/>
          <w:szCs w:val="32"/>
          <w:highlight w:val="none"/>
          <w:lang w:val="en-US" w:eastAsia="zh-CN"/>
        </w:rPr>
        <w:t>市地震局</w:t>
      </w:r>
      <w:r>
        <w:rPr>
          <w:rFonts w:hint="eastAsia" w:ascii="仿宋" w:hAnsi="仿宋" w:eastAsia="仿宋" w:cs="仿宋"/>
          <w:b w:val="0"/>
          <w:bCs w:val="0"/>
          <w:color w:val="000000"/>
          <w:sz w:val="32"/>
          <w:szCs w:val="32"/>
          <w:highlight w:val="none"/>
          <w:lang w:val="en-US"/>
        </w:rPr>
        <w:t>对建立健全内部内控制度、提供的会计资料和相关材料证明文件的完整性、真实性、合法性承担责任。依据《中共西自治区委员会西藏自治区人民政府关于全面实施预算绩效管理的实施意见》</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藏党发</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2020</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7号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、财政部《财政支出绩效评价管理暂行办法》</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财预</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2011〕285号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以及《林芝市财政局关于开展 2023 年度部门整体支出、项目支出、财政政策绩效评价工作通知》</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林财预〔202</w:t>
      </w:r>
      <w:r>
        <w:rPr>
          <w:rFonts w:hint="eastAsia" w:ascii="仿宋" w:hAnsi="仿宋" w:eastAsia="仿宋" w:cs="仿宋"/>
          <w:b w:val="0"/>
          <w:bCs w:val="0"/>
          <w:color w:val="000000"/>
          <w:sz w:val="32"/>
          <w:szCs w:val="32"/>
          <w:highlight w:val="none"/>
          <w:lang w:val="en-US" w:eastAsia="zh-CN"/>
        </w:rPr>
        <w:t>4</w:t>
      </w:r>
      <w:r>
        <w:rPr>
          <w:rFonts w:hint="eastAsia" w:ascii="仿宋" w:hAnsi="仿宋" w:eastAsia="仿宋" w:cs="仿宋"/>
          <w:b w:val="0"/>
          <w:bCs w:val="0"/>
          <w:color w:val="000000"/>
          <w:sz w:val="32"/>
          <w:szCs w:val="32"/>
          <w:highlight w:val="none"/>
          <w:lang w:val="en-US"/>
        </w:rPr>
        <w:t>〕</w:t>
      </w:r>
      <w:r>
        <w:rPr>
          <w:rFonts w:hint="eastAsia" w:ascii="仿宋" w:hAnsi="仿宋" w:eastAsia="仿宋" w:cs="仿宋"/>
          <w:b w:val="0"/>
          <w:bCs w:val="0"/>
          <w:color w:val="000000"/>
          <w:sz w:val="32"/>
          <w:szCs w:val="32"/>
          <w:highlight w:val="none"/>
          <w:lang w:val="en-US" w:eastAsia="zh-CN"/>
        </w:rPr>
        <w:t>11</w:t>
      </w:r>
      <w:r>
        <w:rPr>
          <w:rFonts w:hint="eastAsia" w:ascii="仿宋" w:hAnsi="仿宋" w:eastAsia="仿宋" w:cs="仿宋"/>
          <w:b w:val="0"/>
          <w:bCs w:val="0"/>
          <w:color w:val="000000"/>
          <w:sz w:val="32"/>
          <w:szCs w:val="32"/>
          <w:highlight w:val="none"/>
          <w:lang w:val="en-US"/>
        </w:rPr>
        <w:t>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相关要求，结合</w:t>
      </w:r>
      <w:r>
        <w:rPr>
          <w:rFonts w:hint="eastAsia" w:ascii="仿宋" w:hAnsi="仿宋" w:eastAsia="仿宋" w:cs="仿宋"/>
          <w:b w:val="0"/>
          <w:bCs w:val="0"/>
          <w:color w:val="000000"/>
          <w:sz w:val="32"/>
          <w:szCs w:val="32"/>
          <w:highlight w:val="none"/>
          <w:lang w:val="en-US" w:eastAsia="zh-CN"/>
        </w:rPr>
        <w:t>市地震局</w:t>
      </w:r>
      <w:r>
        <w:rPr>
          <w:rFonts w:hint="eastAsia" w:ascii="仿宋" w:hAnsi="仿宋" w:eastAsia="仿宋" w:cs="仿宋"/>
          <w:b w:val="0"/>
          <w:bCs w:val="0"/>
          <w:color w:val="000000"/>
          <w:sz w:val="32"/>
          <w:szCs w:val="32"/>
          <w:highlight w:val="none"/>
          <w:lang w:val="en-US"/>
        </w:rPr>
        <w:t>的实际情况，我们实施了查阅资料、实地察看、社会调查、检查、询问、计算、分析性复核等评价程序，现将有关情况报告如下</w:t>
      </w:r>
      <w:r>
        <w:rPr>
          <w:rFonts w:hint="eastAsia" w:ascii="仿宋" w:hAnsi="仿宋" w:eastAsia="仿宋" w:cs="仿宋"/>
          <w:b w:val="0"/>
          <w:bCs w:val="0"/>
          <w:color w:val="000000"/>
          <w:sz w:val="32"/>
          <w:szCs w:val="32"/>
          <w:highlight w:val="none"/>
          <w:lang w:val="en-US" w:eastAsia="zh-CN"/>
        </w:rPr>
        <w:t>：</w:t>
      </w:r>
      <w:bookmarkEnd w:id="5"/>
    </w:p>
    <w:p>
      <w:pPr>
        <w:pStyle w:val="9"/>
        <w:keepNext w:val="0"/>
        <w:keepLines w:val="0"/>
        <w:pageBreakBefore w:val="0"/>
        <w:numPr>
          <w:ilvl w:val="0"/>
          <w:numId w:val="1"/>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outlineLvl w:val="0"/>
        <w:rPr>
          <w:rFonts w:hint="eastAsia" w:ascii="仿宋" w:hAnsi="仿宋" w:eastAsia="仿宋" w:cs="仿宋"/>
          <w:b/>
          <w:bCs/>
          <w:sz w:val="32"/>
          <w:szCs w:val="32"/>
          <w:highlight w:val="none"/>
        </w:rPr>
      </w:pPr>
      <w:bookmarkStart w:id="6" w:name="_Toc3253"/>
      <w:r>
        <w:rPr>
          <w:rFonts w:hint="eastAsia" w:ascii="仿宋" w:hAnsi="仿宋" w:eastAsia="仿宋" w:cs="仿宋"/>
          <w:b/>
          <w:bCs/>
          <w:sz w:val="32"/>
          <w:szCs w:val="32"/>
          <w:highlight w:val="none"/>
          <w:lang w:bidi="ar"/>
        </w:rPr>
        <w:t>部门基本情况</w:t>
      </w:r>
      <w:bookmarkEnd w:id="6"/>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482"/>
        <w:textAlignment w:val="auto"/>
        <w:outlineLvl w:val="1"/>
        <w:rPr>
          <w:rFonts w:hint="eastAsia" w:ascii="仿宋" w:hAnsi="仿宋" w:eastAsia="仿宋" w:cs="仿宋"/>
          <w:b/>
          <w:bCs/>
          <w:sz w:val="32"/>
          <w:szCs w:val="32"/>
          <w:highlight w:val="none"/>
        </w:rPr>
      </w:pPr>
      <w:bookmarkStart w:id="7" w:name="_Toc4772"/>
      <w:r>
        <w:rPr>
          <w:rFonts w:hint="eastAsia" w:ascii="仿宋" w:hAnsi="仿宋" w:eastAsia="仿宋" w:cs="仿宋"/>
          <w:b/>
          <w:bCs/>
          <w:sz w:val="32"/>
          <w:szCs w:val="32"/>
          <w:highlight w:val="none"/>
        </w:rPr>
        <w:t>（一）部门主要职能</w:t>
      </w:r>
      <w:bookmarkEnd w:id="7"/>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color w:val="000000"/>
          <w:sz w:val="32"/>
          <w:szCs w:val="32"/>
          <w:highlight w:val="none"/>
          <w:lang w:val="en-US"/>
        </w:rPr>
        <w:t>林芝市</w:t>
      </w:r>
      <w:r>
        <w:rPr>
          <w:rFonts w:hint="eastAsia" w:ascii="仿宋" w:hAnsi="仿宋" w:eastAsia="仿宋" w:cs="仿宋"/>
          <w:b w:val="0"/>
          <w:bCs w:val="0"/>
          <w:color w:val="000000"/>
          <w:sz w:val="32"/>
          <w:szCs w:val="32"/>
          <w:highlight w:val="none"/>
          <w:lang w:val="en-US" w:eastAsia="zh-CN"/>
        </w:rPr>
        <w:t>地震局</w:t>
      </w:r>
      <w:r>
        <w:rPr>
          <w:rFonts w:hint="eastAsia" w:ascii="仿宋" w:hAnsi="仿宋" w:eastAsia="仿宋" w:cs="仿宋"/>
          <w:b w:val="0"/>
          <w:bCs w:val="0"/>
          <w:i w:val="0"/>
          <w:iCs w:val="0"/>
          <w:caps w:val="0"/>
          <w:color w:val="000000"/>
          <w:spacing w:val="0"/>
          <w:kern w:val="0"/>
          <w:sz w:val="32"/>
          <w:szCs w:val="32"/>
          <w:highlight w:val="none"/>
          <w:lang w:val="en-US" w:eastAsia="zh-CN"/>
        </w:rPr>
        <w:t>是市应急管理局管理的参公事业单位，为副县级。主要职能是:</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bookmarkStart w:id="8" w:name="_Toc31453"/>
      <w:r>
        <w:rPr>
          <w:rFonts w:hint="eastAsia" w:ascii="仿宋" w:hAnsi="仿宋" w:eastAsia="仿宋" w:cs="仿宋"/>
          <w:b w:val="0"/>
          <w:bCs w:val="0"/>
          <w:i w:val="0"/>
          <w:iCs w:val="0"/>
          <w:caps w:val="0"/>
          <w:color w:val="000000"/>
          <w:spacing w:val="0"/>
          <w:kern w:val="0"/>
          <w:sz w:val="32"/>
          <w:szCs w:val="32"/>
          <w:highlight w:val="none"/>
          <w:lang w:val="en-US" w:eastAsia="zh-CN"/>
        </w:rPr>
        <w:t>（1）</w:t>
      </w:r>
      <w:bookmarkEnd w:id="8"/>
      <w:r>
        <w:rPr>
          <w:rFonts w:hint="eastAsia" w:ascii="仿宋" w:hAnsi="仿宋" w:eastAsia="仿宋" w:cs="仿宋"/>
          <w:b w:val="0"/>
          <w:bCs w:val="0"/>
          <w:i w:val="0"/>
          <w:iCs w:val="0"/>
          <w:caps w:val="0"/>
          <w:color w:val="000000"/>
          <w:spacing w:val="0"/>
          <w:kern w:val="0"/>
          <w:sz w:val="32"/>
          <w:szCs w:val="32"/>
          <w:highlight w:val="none"/>
          <w:lang w:val="en-US" w:eastAsia="zh-CN"/>
        </w:rPr>
        <w:t>根据有关法律、法规、规章的规定，监督、检查本行政区域的防震减灾工作。</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（2）编制本行政区域的防震减灾规划和计划并组织实施。</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3）负责建立本行政区域内地震监测预报工作体系，按照地区地震监测台(站)建设规划，负责本行政区域内的地震台网(站)及信息系统建设工作，实施资源共享;强化本行政区域内的地震重点监视防御区震情跟踪;会同有关部门依法保护地震监测设施和地震观测环境。</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4）会同有关部门建立震灾预防工作体系。负责监督管理本行政区域内建设工程抗震设防要求和地震安全性自评工作;管理本行政区域内地震烈度区划成果的应用，按照有关规定管理本行政区域内工程建设场地地震安全性自评工作;管理本行政区域内地震灾害预测;制定本行政区域破坏性地震应急预案并检查落实情况;组织开展防震减灾知识的宣传工作，并按照有关规定审核防震减灾宣传报道。</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（5）承担市政府抗灾救灾指挥机构的办事机构的职能;负责震情和灾情速报;参与地震灾害调查与损失评估;参加制定地震灾区重建规划。</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（6）会同有关部门建立地震紧急救援工作体系。组建本地区地震紧急救援队伍，组织、培训救援志愿者队伍;协助建立地震重点监视预防区的地震应急救援物资储备体系。</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（7）有条件的情况下，组织开展水库地震的监测和研究工作，会同有关部门防范地震次生灾害。</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（8）承担本行政区域内的地震行政复议、行政诉讼工作;负责地震行业质量与技术监督管理工作;负责地震技术标准的宣传、贯彻、实施和执行监督;管理地震计量工作。</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（9）指导市、县(区)防震减灾工作。</w:t>
      </w:r>
    </w:p>
    <w:p>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（10）承担市政府和上级防震减灾工作业务主管部门交办的其他事项。</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9" w:name="_Toc25584"/>
      <w:r>
        <w:rPr>
          <w:rFonts w:hint="eastAsia" w:ascii="仿宋" w:hAnsi="仿宋" w:eastAsia="仿宋" w:cs="仿宋"/>
          <w:b/>
          <w:bCs/>
          <w:sz w:val="32"/>
          <w:szCs w:val="32"/>
          <w:highlight w:val="none"/>
        </w:rPr>
        <w:t>（二）机构设置情况</w:t>
      </w:r>
      <w:bookmarkEnd w:id="9"/>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sz w:val="32"/>
          <w:szCs w:val="32"/>
          <w:highlight w:val="yellow"/>
        </w:rPr>
      </w:pPr>
      <w:r>
        <w:rPr>
          <w:rFonts w:hint="eastAsia" w:ascii="仿宋" w:hAnsi="仿宋" w:eastAsia="仿宋" w:cs="仿宋"/>
          <w:b w:val="0"/>
          <w:bCs w:val="0"/>
          <w:i w:val="0"/>
          <w:iCs w:val="0"/>
          <w:caps w:val="0"/>
          <w:color w:val="000000"/>
          <w:spacing w:val="0"/>
          <w:kern w:val="0"/>
          <w:sz w:val="32"/>
          <w:szCs w:val="32"/>
          <w:highlight w:val="none"/>
          <w:lang w:val="en-US" w:eastAsia="zh-CN"/>
        </w:rPr>
        <w:t>部门内设3个科室，分别是办公室、政工人事科、震害防御科。</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0" w:name="_Toc5238"/>
      <w:r>
        <w:rPr>
          <w:rFonts w:hint="eastAsia" w:ascii="仿宋" w:hAnsi="仿宋" w:eastAsia="仿宋" w:cs="仿宋"/>
          <w:b/>
          <w:bCs/>
          <w:sz w:val="32"/>
          <w:szCs w:val="32"/>
          <w:highlight w:val="none"/>
        </w:rPr>
        <w:t>（三）人员编制情况</w:t>
      </w:r>
      <w:bookmarkEnd w:id="10"/>
    </w:p>
    <w:p>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yellow"/>
          <w:lang w:val="en-US" w:eastAsia="zh-CN"/>
        </w:rPr>
      </w:pPr>
      <w:r>
        <w:rPr>
          <w:rFonts w:hint="eastAsia" w:ascii="仿宋" w:hAnsi="仿宋" w:eastAsia="仿宋" w:cs="仿宋"/>
          <w:bCs w:val="0"/>
          <w:color w:val="000000"/>
          <w:kern w:val="0"/>
          <w:sz w:val="32"/>
          <w:szCs w:val="32"/>
          <w:highlight w:val="none"/>
          <w:lang w:val="en-US" w:eastAsia="zh-CN"/>
        </w:rPr>
        <w:t>截至2023年</w:t>
      </w:r>
      <w:r>
        <w:rPr>
          <w:rFonts w:hint="eastAsia" w:ascii="仿宋" w:hAnsi="仿宋" w:eastAsia="仿宋" w:cs="仿宋"/>
          <w:color w:val="000000"/>
          <w:kern w:val="0"/>
          <w:sz w:val="32"/>
          <w:szCs w:val="32"/>
          <w:highlight w:val="none"/>
          <w:lang w:val="en-US" w:eastAsia="zh-CN"/>
        </w:rPr>
        <w:t>12月31日，</w:t>
      </w:r>
      <w:r>
        <w:rPr>
          <w:rFonts w:hint="eastAsia" w:ascii="仿宋" w:hAnsi="仿宋" w:eastAsia="仿宋" w:cs="仿宋"/>
          <w:b w:val="0"/>
          <w:bCs w:val="0"/>
          <w:i w:val="0"/>
          <w:iCs w:val="0"/>
          <w:caps w:val="0"/>
          <w:color w:val="000000"/>
          <w:spacing w:val="0"/>
          <w:kern w:val="0"/>
          <w:sz w:val="32"/>
          <w:szCs w:val="32"/>
          <w:lang w:val="en-US" w:eastAsia="zh-CN"/>
        </w:rPr>
        <w:t>林芝市地震局事业编制为10名</w:t>
      </w:r>
      <w:r>
        <w:rPr>
          <w:rFonts w:hint="eastAsia" w:ascii="仿宋" w:hAnsi="仿宋" w:eastAsia="仿宋" w:cs="仿宋"/>
          <w:b w:val="0"/>
          <w:bCs w:val="0"/>
          <w:i w:val="0"/>
          <w:iCs w:val="0"/>
          <w:caps w:val="0"/>
          <w:color w:val="000000"/>
          <w:spacing w:val="0"/>
          <w:kern w:val="0"/>
          <w:sz w:val="32"/>
          <w:szCs w:val="32"/>
          <w:highlight w:val="none"/>
          <w:lang w:val="en-US" w:eastAsia="zh-CN"/>
        </w:rPr>
        <w:t>，实际在职职工人数8人。</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1" w:name="_Toc27801"/>
      <w:r>
        <w:rPr>
          <w:rFonts w:hint="eastAsia" w:ascii="仿宋" w:hAnsi="仿宋" w:eastAsia="仿宋" w:cs="仿宋"/>
          <w:b/>
          <w:bCs/>
          <w:sz w:val="32"/>
          <w:szCs w:val="32"/>
          <w:highlight w:val="none"/>
        </w:rPr>
        <w:t>（四）年度总体工作和重点工作任务</w:t>
      </w:r>
      <w:bookmarkEnd w:id="11"/>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1.年度总体工作</w:t>
      </w:r>
    </w:p>
    <w:p>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none"/>
          <w:lang w:val="en-US" w:eastAsia="zh-CN"/>
        </w:rPr>
      </w:pPr>
      <w:r>
        <w:rPr>
          <w:rFonts w:hint="eastAsia" w:ascii="仿宋" w:hAnsi="仿宋" w:eastAsia="仿宋" w:cs="仿宋"/>
          <w:bCs w:val="0"/>
          <w:color w:val="000000"/>
          <w:kern w:val="0"/>
          <w:sz w:val="32"/>
          <w:szCs w:val="32"/>
          <w:highlight w:val="none"/>
          <w:lang w:val="en-US" w:eastAsia="zh-CN"/>
        </w:rPr>
        <w:t>2023年，林芝市地震局以习近平新时代中国特色社会主义思想为指导，全面贯彻党的二十大及中央经济工作会议精神，认真贯彻党中央、国务院决策部署，落实全国应急管理工作会议、全国地震局长会议、全区地震局长会议精神，分析新形势新要求，着力推动林芝防震减灾事业现代化建设，助力全区防震减灾高质量发展。</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2.重点工作任务</w:t>
      </w:r>
    </w:p>
    <w:p>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开展地震“三网一员”宏观观测速报员选聘工作。林芝市地处于雅鲁藏布江断裂、嘉黎断裂和喜马拉雅断裂带等数个断裂带交汇处，属中强地震多发区，地震活动具有频度高、强度大、突发性强、震源浅、易成灾的特点，具有发生强烈地震的构造背景，提高全民防震减灾意识和能力，对地震监测预报、地震灾害预防、地震应急和震后救援与重建工作都有极其重要的意义。为进一步健全市、县（区）、乡（镇）、村四级防震减灾工作体系，完善地震群测群防工作机制。2023年，市地震局组织工作人员深入基层详细了解地震“三网一员”拟聘用人员的文化水平、工作能力等情况，并召开地震“三网一员”宏观观测速报员选聘会，与符合选聘条件的人员签订了地震“三网一员”宏观观测及速报员聘用协议。按照市委、市政府着力创建“三区一高地”和“四个走在前列”的工作目标要求，结合林芝防震减灾工作实际制定了全市8度以上地震危险区域的村（居）地震观测及速报员全覆盖；全市防震减灾知识普及率达到95%以上的工作目标，力争“十四五”期间林芝防震减灾综合能力接近全国平均水平，走在全区前列的目标。经过努力今年实现8度以上地震危险区域地震观测及速报员率达42.6%，墨脱县全覆盖，防震减灾知识普及率达到80%以上。全年共选聘培训地震宏观前兆观测员及速报员223人，主要负责地震宏观前兆观测、宣传防震减灾知识、震情速报、组织演练和现场联络救灾等工作，有效发挥了防震减灾群测群防力量，为全市防震减灾工作迈上新台阶奠定了坚实的群众基础。</w:t>
      </w:r>
    </w:p>
    <w:p>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开展防震减灾科普知识宣传活动。一是发挥地震科普示范基地宣传作用。为有效开展防震减灾宣传教育，提高学校师生的防震减灾意识和自救自护能力。5月林芝市地震局组织广东实验小学部分师生到林芝地震科普馆进行参观体验活动。此次活动共有100余名师生参加，通过参观体验，师生们进一步了解了防震减灾的科普知识，懂得了基本的逃生自救技巧，学会了正确自助自救、互助互救，有效地提高了广大师生防范自然灾害的意识和能力。二是开展地震科普知识讲座。林芝市地震局联合林芝地震监测中心站在“5.12”防灾减灾日期间前往米林市派镇小学林芝市第二幼儿园开展了防震知识科普宣讲活动工作人员对全园教师和幼儿进行防震知识科普讲座，讲座根据儿童年龄特点采用通俗易懂的语言讲解了地震的破坏性、应急避震知识、师生避险措施、自救自护方法等知识，形象生动的演示引导幼儿学习地震基本知识，了解地震自救的防御方法。此次防震减灾科普知识讲座活动覆盖全园1100人，大大增强了小学生及幼儿的自我保护意识，提高幼儿自护自救能力，让孩子对防震减灾安全知识有了概念性的了解，率先迈出了防震减灾知识从幼儿抓起的第一步。三是开展地震应急疏散演练。活动期间还组织专门人员前往米林县派镇中心小学等学校开展防震减灾科普知识讲座暨地震应急避险疏散实战演练活动，工作人员紧密结合学生接收能力不同的特点，紧紧围绕防灾减灾的重要意义、地震常识、地震灾害、地震预报、防震避险等知识进行讲解，用通俗易懂的语言为学生们讲解了地震的成因和震情形式，重点普及了学校避险、家庭避险、户外避险等有效的避震方法。四是积极开展地震基础设施。今年完成墨脱、米林、察隅三个自治区地震观测站点的选址工作，协助YX电站完成33个地震观测站的选址和建设工作。</w:t>
      </w:r>
    </w:p>
    <w:p>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开展地震灾害防范应对准备督导检查。今年6月，林芝市地震局在自治区地震局的统一安排和部署下，前往我市地震危险区域开展地震灾害防范应对准备工作督导检查。深入下察隅镇沙玛村和仲萨村详细了解边境小康村和整村搬迁民居房屋抗震性能的现状，同时对下察隅镇的救灾物资储备和应急救援队伍等方面的应急准备等情况进行了摸排和指导。发现问题：一是林芝市部分地区不设防的老旧房屋还有一定数量，早期实施的农牧民安居工程有些未达到现行的抗震设防标准，自建房屋基本上没有抗震措施，存在较高的地震灾害风险；二是一些政府部门防大震、备大灾意识还不够牢，对地震的严峻复杂性估计不足，仍存在重救灾轻防御的思想；三是公众缺乏对各种灾害风险的认识，自救互救技能不足。并提出了解决方案：一是要进一步完善防震减灾工作机制。全市各级党委、政府要完善防震减灾工作机构和人员配置，要推进防震减灾机构调整和职能职责转变，理顺应急管理部门和地震部门的工作关系；要落实经费投入，将地震灾害风险防治纳入地方经济社会发展规划、政府年度目标考核和公共财政预算。二是要进一步提升防范化解地震灾害风险能力。要及时开展全市建设工程地震安全监管检查。市政府要组织防震减灾成员单位，开展本辖区建设工程地震安全监管检查工作，摸清建设工程地震安全现状，针对发现的问题进行及时整改，提高全市建设工程抗震设防能力。三是要进一步强化地震应急准备。各级抗震救灾应急指挥部要履职尽责，继续落实好抗震救灾应急指挥部会议制度，完善协调联动机制。指挥部各成员单位要在本级人民政府的领导下，按照职责分工共同做好抗震救灾工作。市、县有关部门要认真按照《西藏自治区应急总体预案》，加快修订完善本地区、本部门地震应急专项预案，强化部门之间、军地之间的信息沟通与应急联动。</w:t>
      </w:r>
    </w:p>
    <w:p>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做好重点区域的地震应急准备工作。2023年7月28日至9月10日，我市波密县先后发生3.0级以上地震11次，最大震级为4.3级。根据自治区抗震救灾指挥部办公室《关于加强2023年下半年重特大地震灾害防范应对工作的通知》要求，结合2020年7-8月该区域连续发生28次3.0级以上地震背景，林芝市地震部门多措并举，未雨绸缪，确保人民群众生命财产安全。</w:t>
      </w:r>
      <w:bookmarkStart w:id="34" w:name="_GoBack"/>
      <w:bookmarkEnd w:id="34"/>
      <w:r>
        <w:rPr>
          <w:rFonts w:hint="eastAsia" w:ascii="仿宋" w:hAnsi="仿宋" w:eastAsia="仿宋" w:cs="仿宋"/>
          <w:color w:val="000000"/>
          <w:kern w:val="0"/>
          <w:sz w:val="32"/>
          <w:szCs w:val="32"/>
          <w:lang w:val="en-US" w:eastAsia="zh-CN" w:bidi="ar"/>
        </w:rPr>
        <w:t>一是做好地震灾情速报工作。地震部门及时修订完善地震灾情信息速报制度及流程，并依靠地震“三网一员”网络及时收集震后灾情信息。截至目前已完成11期地震信息速报工作，及时为市委、市政府主要领导提供决策依据。二是做好震后会商研判工作。地震发生后，应急、地震等部门高度重视，及时提请林芝地震监测中心站及自治区地震局进行会商研判。根据区域构造特征、历史地震活动水平、序列类型特点等综合分析认为，7月28日波密4.2级地震原震区近几日发生5级以上的可能性不大，存在发生4-5级地震的可能，后续在该区域连续发生的地震与会商结果保持基本一致。三是做好地震应急准备工作。地震发生后，应急、地震等部门第一时间响应。第一时间将地震灾害防范应对等相关文件及工作要求传达至地震危险区域的各县（区）、乡镇，督促各级政府及应急部门切实提高思想认识，做好抗大震、救大灾的准备，确保人民群众生命财产安全。经核实统计，易贡乡现有户数781户2797人（含茶厂370户1200人）；大型运输车辆127辆，挖掘机45台，装载机30台；现有各类帐篷301顶、毛毯485床、棉被（褥）860床、急救包188包以及其他救援物资基本满足应急需要。四是做好多方救援准备。针对震后可能发生的道路交通中断等情况，为做好第一时间的救援工作，规划了林芝至波密县易贡乡的空中航线，并在易贡茶厂、易贡乡贡仲村设立3个临时起降点，现已完成试飞试降任务。</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32"/>
          <w:szCs w:val="32"/>
          <w:highlight w:val="none"/>
        </w:rPr>
      </w:pPr>
      <w:bookmarkStart w:id="12" w:name="_Toc25152"/>
      <w:r>
        <w:rPr>
          <w:rFonts w:hint="eastAsia" w:ascii="仿宋" w:hAnsi="仿宋" w:eastAsia="仿宋" w:cs="仿宋"/>
          <w:b/>
          <w:bCs/>
          <w:sz w:val="32"/>
          <w:szCs w:val="32"/>
          <w:highlight w:val="none"/>
        </w:rPr>
        <w:t>（五）部门预算批复及整体支出安排情况</w:t>
      </w:r>
      <w:bookmarkEnd w:id="12"/>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1.预算批复情况</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市地震局</w:t>
      </w:r>
      <w:r>
        <w:rPr>
          <w:rFonts w:hint="eastAsia" w:ascii="仿宋" w:hAnsi="仿宋" w:eastAsia="仿宋" w:cs="仿宋"/>
          <w:sz w:val="32"/>
          <w:szCs w:val="32"/>
          <w:highlight w:val="none"/>
        </w:rPr>
        <w:t>年初预算数3</w:t>
      </w:r>
      <w:r>
        <w:rPr>
          <w:rFonts w:hint="eastAsia" w:ascii="仿宋" w:hAnsi="仿宋" w:eastAsia="仿宋" w:cs="仿宋"/>
          <w:sz w:val="32"/>
          <w:szCs w:val="32"/>
          <w:highlight w:val="none"/>
          <w:lang w:val="en-US" w:eastAsia="zh-CN"/>
        </w:rPr>
        <w:t>68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81万</w:t>
      </w:r>
      <w:r>
        <w:rPr>
          <w:rFonts w:hint="eastAsia" w:ascii="仿宋" w:hAnsi="仿宋" w:eastAsia="仿宋" w:cs="仿宋"/>
          <w:sz w:val="32"/>
          <w:szCs w:val="32"/>
          <w:highlight w:val="none"/>
        </w:rPr>
        <w:t>元，综合</w:t>
      </w:r>
      <w:r>
        <w:rPr>
          <w:rFonts w:hint="eastAsia" w:ascii="仿宋" w:hAnsi="仿宋" w:eastAsia="仿宋" w:cs="仿宋"/>
          <w:sz w:val="32"/>
          <w:szCs w:val="32"/>
          <w:highlight w:val="none"/>
          <w:lang w:val="en-US" w:eastAsia="zh-CN"/>
        </w:rPr>
        <w:t>调整后调减数额为9.61万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调整后全年预算金额为359.20</w:t>
      </w:r>
      <w:r>
        <w:rPr>
          <w:rFonts w:hint="eastAsia" w:ascii="仿宋" w:hAnsi="仿宋" w:eastAsia="仿宋" w:cs="仿宋"/>
          <w:sz w:val="32"/>
          <w:szCs w:val="32"/>
          <w:highlight w:val="none"/>
          <w:lang w:val="en-US" w:eastAsia="zh-CN"/>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其中：一般公共预算 343.15万元、政府性基金预算0.00万元、国有资本经营预算0.00万元、非财政拨款结转16.05万元。</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2.决算情况</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市地震局</w:t>
      </w:r>
      <w:r>
        <w:rPr>
          <w:rFonts w:hint="eastAsia" w:ascii="仿宋" w:hAnsi="仿宋" w:eastAsia="仿宋" w:cs="仿宋"/>
          <w:sz w:val="32"/>
          <w:szCs w:val="32"/>
          <w:highlight w:val="none"/>
        </w:rPr>
        <w:t>决算数为</w:t>
      </w:r>
      <w:r>
        <w:rPr>
          <w:rFonts w:hint="eastAsia" w:ascii="仿宋" w:hAnsi="仿宋" w:eastAsia="仿宋" w:cs="仿宋"/>
          <w:sz w:val="32"/>
          <w:szCs w:val="32"/>
          <w:highlight w:val="none"/>
          <w:lang w:val="en-US" w:eastAsia="zh-CN"/>
        </w:rPr>
        <w:t>356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83万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其中：基本支出金额为282.80万元，项目支出金额为74.03万元。</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13" w:name="_Toc5512"/>
      <w:r>
        <w:rPr>
          <w:rFonts w:hint="eastAsia" w:ascii="仿宋" w:hAnsi="仿宋" w:eastAsia="仿宋" w:cs="仿宋"/>
          <w:b/>
          <w:bCs/>
          <w:sz w:val="32"/>
          <w:szCs w:val="32"/>
          <w:highlight w:val="none"/>
          <w:lang w:bidi="ar"/>
        </w:rPr>
        <w:t>二、绩效评价工作开展情况</w:t>
      </w:r>
      <w:bookmarkEnd w:id="13"/>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4" w:name="_Toc21416"/>
      <w:r>
        <w:rPr>
          <w:rFonts w:hint="eastAsia" w:ascii="仿宋" w:hAnsi="仿宋" w:eastAsia="仿宋" w:cs="仿宋"/>
          <w:b/>
          <w:bCs/>
          <w:sz w:val="32"/>
          <w:szCs w:val="32"/>
          <w:highlight w:val="none"/>
          <w:lang w:bidi="ar"/>
        </w:rPr>
        <w:t>（一）绩效评价目的、对象和范围</w:t>
      </w:r>
      <w:bookmarkEnd w:id="14"/>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sz w:val="32"/>
          <w:szCs w:val="32"/>
          <w:highlight w:val="none"/>
          <w:lang w:val="en"/>
        </w:rPr>
      </w:pPr>
      <w:r>
        <w:rPr>
          <w:rFonts w:hint="eastAsia" w:ascii="仿宋" w:hAnsi="仿宋" w:eastAsia="仿宋" w:cs="仿宋"/>
          <w:b/>
          <w:bCs/>
          <w:sz w:val="32"/>
          <w:szCs w:val="32"/>
          <w:highlight w:val="none"/>
          <w:lang w:bidi="ar"/>
        </w:rPr>
        <w:t xml:space="preserve"> </w:t>
      </w:r>
      <w:r>
        <w:rPr>
          <w:rFonts w:hint="eastAsia" w:ascii="仿宋" w:hAnsi="仿宋" w:eastAsia="仿宋" w:cs="仿宋"/>
          <w:sz w:val="32"/>
          <w:szCs w:val="32"/>
          <w:highlight w:val="none"/>
          <w:lang w:val="en"/>
        </w:rPr>
        <w:t>1.评价目的</w:t>
      </w:r>
    </w:p>
    <w:p>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
        </w:rPr>
      </w:pPr>
      <w:r>
        <w:rPr>
          <w:rFonts w:hint="eastAsia" w:ascii="仿宋" w:hAnsi="仿宋" w:eastAsia="仿宋" w:cs="仿宋"/>
          <w:sz w:val="32"/>
          <w:szCs w:val="32"/>
          <w:highlight w:val="none"/>
          <w:lang w:val="en"/>
        </w:rPr>
        <w:t>本次评价根据《中共中央、国务院关于全面实施预算绩效管理的意见》（中发〔2018〕34 号）、西藏自治区人民政府《关于全面实施预算绩效管理的实施意见》（藏党发〔2020〕7号）部署的要求，以预算资金为主线，梳理部门预算执行过程中涉及的目标管理、预算管理、资产管理等内容，综合分析部门的管理效率，落实部门预算主体责任，提高部门资金、资产等资源统筹配置能力；以战略目标和职责目标为基础，综合评价部门履职结果，反映财政资金支出结果，提升部门整体预算绩效管理水平。</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2.评价对象和范围</w:t>
      </w:r>
    </w:p>
    <w:p>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b/>
          <w:bCs/>
          <w:sz w:val="32"/>
          <w:szCs w:val="32"/>
          <w:highlight w:val="none"/>
          <w:lang w:val="en"/>
        </w:rPr>
      </w:pPr>
      <w:r>
        <w:rPr>
          <w:rFonts w:hint="eastAsia" w:ascii="仿宋" w:hAnsi="仿宋" w:eastAsia="仿宋" w:cs="仿宋"/>
          <w:sz w:val="32"/>
          <w:szCs w:val="32"/>
          <w:highlight w:val="none"/>
          <w:lang w:val="en"/>
        </w:rPr>
        <w:t>本次评价对象为</w:t>
      </w:r>
      <w:r>
        <w:rPr>
          <w:rFonts w:hint="eastAsia" w:ascii="仿宋" w:hAnsi="仿宋" w:eastAsia="仿宋" w:cs="仿宋"/>
          <w:sz w:val="32"/>
          <w:szCs w:val="32"/>
          <w:highlight w:val="none"/>
          <w:lang w:val="en-US" w:eastAsia="zh-CN"/>
        </w:rPr>
        <w:t>市地震局</w:t>
      </w:r>
      <w:r>
        <w:rPr>
          <w:rFonts w:hint="eastAsia" w:ascii="仿宋" w:hAnsi="仿宋" w:eastAsia="仿宋" w:cs="仿宋"/>
          <w:sz w:val="32"/>
          <w:szCs w:val="32"/>
          <w:highlight w:val="none"/>
          <w:lang w:val="en"/>
        </w:rPr>
        <w:t>，预算资金359.20</w:t>
      </w:r>
      <w:r>
        <w:rPr>
          <w:rFonts w:hint="eastAsia" w:ascii="仿宋" w:hAnsi="仿宋" w:eastAsia="仿宋" w:cs="仿宋"/>
          <w:sz w:val="32"/>
          <w:szCs w:val="32"/>
          <w:highlight w:val="none"/>
          <w:lang w:val="en-US" w:eastAsia="zh-CN"/>
        </w:rPr>
        <w:t>万</w:t>
      </w:r>
      <w:r>
        <w:rPr>
          <w:rFonts w:hint="eastAsia" w:ascii="仿宋" w:hAnsi="仿宋" w:eastAsia="仿宋" w:cs="仿宋"/>
          <w:sz w:val="32"/>
          <w:szCs w:val="32"/>
          <w:highlight w:val="none"/>
          <w:lang w:val="en" w:eastAsia="zh-CN"/>
        </w:rPr>
        <w:t>元</w:t>
      </w:r>
      <w:r>
        <w:rPr>
          <w:rFonts w:hint="eastAsia" w:ascii="仿宋" w:hAnsi="仿宋" w:eastAsia="仿宋" w:cs="仿宋"/>
          <w:sz w:val="32"/>
          <w:szCs w:val="32"/>
          <w:highlight w:val="none"/>
          <w:lang w:val="en"/>
        </w:rPr>
        <w:t>。评价时间范围：202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年1月1日至 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年12月31日。</w:t>
      </w:r>
    </w:p>
    <w:p>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5" w:name="_Toc4944"/>
      <w:bookmarkStart w:id="16" w:name="_Toc4468"/>
      <w:bookmarkStart w:id="17" w:name="_Toc2914"/>
      <w:r>
        <w:rPr>
          <w:rFonts w:hint="eastAsia" w:ascii="仿宋" w:hAnsi="仿宋" w:eastAsia="仿宋" w:cs="仿宋"/>
          <w:b/>
          <w:bCs/>
          <w:sz w:val="32"/>
          <w:szCs w:val="32"/>
          <w:highlight w:val="none"/>
          <w:lang w:val="en"/>
        </w:rPr>
        <w:t>（</w:t>
      </w:r>
      <w:r>
        <w:rPr>
          <w:rFonts w:hint="eastAsia" w:ascii="仿宋" w:hAnsi="仿宋" w:eastAsia="仿宋" w:cs="仿宋"/>
          <w:b/>
          <w:bCs/>
          <w:sz w:val="32"/>
          <w:szCs w:val="32"/>
          <w:highlight w:val="none"/>
        </w:rPr>
        <w:t>二）</w:t>
      </w:r>
      <w:r>
        <w:rPr>
          <w:rFonts w:hint="eastAsia" w:ascii="仿宋" w:hAnsi="仿宋" w:eastAsia="仿宋" w:cs="仿宋"/>
          <w:b/>
          <w:bCs/>
          <w:sz w:val="32"/>
          <w:szCs w:val="32"/>
          <w:highlight w:val="none"/>
          <w:lang w:val="en-US" w:eastAsia="zh-CN"/>
        </w:rPr>
        <w:t>评价依据、</w:t>
      </w:r>
      <w:r>
        <w:rPr>
          <w:rFonts w:hint="eastAsia" w:ascii="仿宋" w:hAnsi="仿宋" w:eastAsia="仿宋" w:cs="仿宋"/>
          <w:b/>
          <w:bCs/>
          <w:sz w:val="32"/>
          <w:szCs w:val="32"/>
          <w:highlight w:val="none"/>
          <w:lang w:val="en"/>
        </w:rPr>
        <w:t>绩效评价原则、评价方法、评价标准、评价指标体系</w:t>
      </w:r>
      <w:bookmarkEnd w:id="15"/>
      <w:bookmarkEnd w:id="16"/>
      <w:bookmarkEnd w:id="17"/>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评价依据</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(1)《中华人民共和国预算法》</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(2)《中华人民共和国预算法实施条例》</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(3)《中共中央国务院关于全面实施预算绩效管理的意见》（中发〔2018〕34号）</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(4)《国务院办公厅关于政府向社会力量购买服务的指导意见》（国办发〔2013〕96号）</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(5)《财政支出绩效评价管理暂行办法》（财预〔2011〕285号）</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(6)《中共西藏自治区委员会西藏自治区人民政府关于全面实施预算绩效管理的实施意见》（藏党发〔2020〕7号）</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(7)《西藏自治区财政支出预算绩效评价管理暂行办法》（藏财预字〔2018〕89号）</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(8)《西藏自治区预算绩效评价指标体系框架》（藏财预〔2018〕174号）</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(9)其他相关法律法规。</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评价原则</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科学规范原则。绩效评价应当严格执行国家、自治区规定的程序、按照科学可行的要求执行。</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客观公正原则。绩效评价应当符合真实、客观、公正的要求，做到指标科学、标准客观、权重合理、数据准确、资料可靠、程序规范、评价公正，绩效评价报告要内容完整、依据充分、分析透彻、逻辑清晰、客观公正。</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绩效相关原则。绩效评价应当针对具体支出及其产出绩效进行，评价指标与支出目标具有直接的联系，评价结果能够清晰反映支出和产出绩效之间的紧密对应关系。</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.评价方法</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确保评价过程、结论的科学与准确性，根据评价工作需要及部门特点，评价工作中主要采用包括比较法、因素分析法、公众评价法和其他评价方法等，以充分采集和核实评价所需要的基础数据资料，进行科学的分析处理，得出评价结论。</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.评价标准</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本次绩效评价采用的评价标准主要为：</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（1）计划标准，本次评价中部分产出指标采用计划标准作为评价标准，计划标准来源于部门中长期发展规划、部门重点工作任务计划。</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（2）历史标准，在本次评价中部分效益指标采用历史标准作为评价标准，历史标准来源于以前年度相关数据统计。</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（3）行业标准。本次评价将</w:t>
      </w:r>
      <w:r>
        <w:rPr>
          <w:rFonts w:hint="eastAsia" w:ascii="仿宋" w:hAnsi="仿宋" w:eastAsia="仿宋" w:cs="仿宋"/>
          <w:sz w:val="32"/>
          <w:szCs w:val="32"/>
          <w:highlight w:val="none"/>
          <w:lang w:val="en-US" w:eastAsia="zh-CN"/>
        </w:rPr>
        <w:t>市地震局</w:t>
      </w:r>
      <w:r>
        <w:rPr>
          <w:rFonts w:hint="eastAsia" w:ascii="仿宋" w:hAnsi="仿宋" w:eastAsia="仿宋" w:cs="仿宋"/>
          <w:sz w:val="32"/>
          <w:szCs w:val="32"/>
          <w:highlight w:val="none"/>
        </w:rPr>
        <w:t>履职目标要求作为行业标准参考。</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（4）其他标准。财政部等相关部门认可的其他标准。本次评价中决策及过程指标采用其他标准。</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.评价指标体系</w:t>
      </w:r>
    </w:p>
    <w:p>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本次评价以《中共中央国务院关于全面实施预算绩效管理的意见》（中发〔2018〕34 号）要求为基础，构建“以部门规划、运行成本、基础管理、资产管理、预算管理等共性指标评价部门管理效率，以履职效能、社会效益、可持续发展能力、服务对象满意等个性指标评价部门履职结果”的评价体系框架。</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zh-CN"/>
        </w:rPr>
        <w:t xml:space="preserve">绩效评价结果量化为百分制综合评分，并按照综合评分进行分级。综合评分为 90 分（含）以上的为“优”，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 xml:space="preserve">分（含）至 90 分的为“良”，60 分（含）至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分的为“中”，60分以下的为“差”</w:t>
      </w:r>
      <w:r>
        <w:rPr>
          <w:rFonts w:hint="eastAsia" w:ascii="仿宋" w:hAnsi="仿宋" w:eastAsia="仿宋" w:cs="仿宋"/>
          <w:color w:val="000000"/>
          <w:sz w:val="32"/>
          <w:szCs w:val="32"/>
          <w:highlight w:val="none"/>
          <w:lang w:bidi="ar"/>
        </w:rPr>
        <w:t>。</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8" w:name="_Toc8303"/>
      <w:r>
        <w:rPr>
          <w:rFonts w:hint="eastAsia" w:ascii="仿宋" w:hAnsi="仿宋" w:eastAsia="仿宋" w:cs="仿宋"/>
          <w:b/>
          <w:bCs/>
          <w:sz w:val="32"/>
          <w:szCs w:val="32"/>
          <w:highlight w:val="none"/>
          <w:lang w:bidi="ar"/>
        </w:rPr>
        <w:t>（三）绩效评价工作过程</w:t>
      </w:r>
      <w:bookmarkEnd w:id="18"/>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本次绩效评价工作主要分为前期准备、评价实施和形成报告三个阶段。具体情况如下： </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1.前期准备阶段</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（1）成立工作组。在明确委托方要求后，组建工作组，明确工作组内的任务分工。</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2）编制工作方案。编制绩效评价工作方案，对评价对象、评价内容、评价方式方法、评价体系和标准、工作程序和时间安排、人员安排及相关附件等作出具体规定。工作方案将报委托方审阅征求意见，并进行调整完善。 </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2.评价实施阶段</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（1）前期准备通知</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工作组通过委托方获取项目单位联系方式，与项目单位提前沟通，下发资料清单，由项目单位进行前期资料准备。</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（2）收集部门资料</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为满足评价工作需要，通过邮件、电话、建立微信工作群等方式，根据需要准备资料清单，跟踪辅导被评价项目 单位准备评价所需相关资料，对遇到的疑惑，及时予以解答，为被评价项目单位能够提供出满足评价需要的资料提供辅导支持。</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（3）资料收集及审核反馈</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工作组将依据资料收集清单对资料进 行形式审核，对于不符合要求、存在重大缺项漏项的资料予以退回，并反馈原因，辅导被评价项目单位补充完善。</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（4）非现场评价</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主要对被评价项目提交的评价相关资料进行审核，统计和评分，在审核过程中对于存有疑义的问题，我们会与相关单位充分沟通，对于对评价结果有重大影响的存疑事项，也将进行现场检查或勘察。 </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（5）综合评价分析</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 </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 xml:space="preserve">3.报告撰写阶段 </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在前期工作开展的基础上，工作组对项目情况进行汇总和分析， 撰写绩效评价报告，经公司内部审核后，递交委托方征求意见并根据反馈意见修改完成形成报告终稿。</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lang w:bidi="ar"/>
        </w:rPr>
      </w:pPr>
      <w:bookmarkStart w:id="19" w:name="_Toc9792"/>
      <w:r>
        <w:rPr>
          <w:rFonts w:hint="eastAsia" w:ascii="仿宋" w:hAnsi="仿宋" w:eastAsia="仿宋" w:cs="仿宋"/>
          <w:b/>
          <w:bCs/>
          <w:sz w:val="32"/>
          <w:szCs w:val="32"/>
          <w:highlight w:val="none"/>
          <w:lang w:bidi="ar"/>
        </w:rPr>
        <w:t>三、综合评价情况及评价结论</w:t>
      </w:r>
      <w:bookmarkEnd w:id="19"/>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表3-1 2023年部门整体支出指标评分表</w:t>
      </w:r>
    </w:p>
    <w:tbl>
      <w:tblPr>
        <w:tblStyle w:val="11"/>
        <w:tblW w:w="886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209"/>
        <w:gridCol w:w="2210"/>
        <w:gridCol w:w="2210"/>
        <w:gridCol w:w="223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0" w:type="dxa"/>
            <w:bottom w:w="0" w:type="dxa"/>
            <w:right w:w="0" w:type="dxa"/>
          </w:tblCellMar>
        </w:tblPrEx>
        <w:trPr>
          <w:cantSplit/>
          <w:trHeight w:val="386" w:hRule="atLeast"/>
          <w:tblHeader/>
          <w:jc w:val="center"/>
        </w:trPr>
        <w:tc>
          <w:tcPr>
            <w:tcW w:w="2209" w:type="dxa"/>
            <w:tcBorders>
              <w:tl2br w:val="nil"/>
              <w:tr2bl w:val="nil"/>
            </w:tcBorders>
            <w:tcMar>
              <w:top w:w="10" w:type="dxa"/>
              <w:left w:w="10" w:type="dxa"/>
              <w:right w:w="10" w:type="dxa"/>
            </w:tcMar>
            <w:vAlign w:val="center"/>
          </w:tcPr>
          <w:p>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一级指标</w:t>
            </w:r>
          </w:p>
        </w:tc>
        <w:tc>
          <w:tcPr>
            <w:tcW w:w="2210" w:type="dxa"/>
            <w:tcBorders>
              <w:tl2br w:val="nil"/>
              <w:tr2bl w:val="nil"/>
            </w:tcBorders>
            <w:tcMar>
              <w:top w:w="10" w:type="dxa"/>
              <w:left w:w="10" w:type="dxa"/>
              <w:right w:w="10" w:type="dxa"/>
            </w:tcMar>
            <w:vAlign w:val="center"/>
          </w:tcPr>
          <w:p>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分值</w:t>
            </w:r>
          </w:p>
        </w:tc>
        <w:tc>
          <w:tcPr>
            <w:tcW w:w="2210" w:type="dxa"/>
            <w:tcBorders>
              <w:tl2br w:val="nil"/>
              <w:tr2bl w:val="nil"/>
            </w:tcBorders>
            <w:tcMar>
              <w:top w:w="10" w:type="dxa"/>
              <w:left w:w="10" w:type="dxa"/>
              <w:right w:w="10" w:type="dxa"/>
            </w:tcMar>
            <w:vAlign w:val="center"/>
          </w:tcPr>
          <w:p>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w:t>
            </w:r>
          </w:p>
        </w:tc>
        <w:tc>
          <w:tcPr>
            <w:tcW w:w="2238" w:type="dxa"/>
            <w:tcBorders>
              <w:tl2br w:val="nil"/>
              <w:tr2bl w:val="nil"/>
            </w:tcBorders>
            <w:tcMar>
              <w:top w:w="10" w:type="dxa"/>
              <w:left w:w="10" w:type="dxa"/>
              <w:right w:w="10" w:type="dxa"/>
            </w:tcMar>
            <w:vAlign w:val="center"/>
          </w:tcPr>
          <w:p>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0" w:type="dxa"/>
            <w:bottom w:w="0" w:type="dxa"/>
            <w:right w:w="0" w:type="dxa"/>
          </w:tblCellMar>
        </w:tblPrEx>
        <w:trPr>
          <w:cantSplit/>
          <w:trHeight w:val="386" w:hRule="atLeast"/>
          <w:tblHeader/>
          <w:jc w:val="center"/>
        </w:trPr>
        <w:tc>
          <w:tcPr>
            <w:tcW w:w="2209"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投入</w:t>
            </w:r>
          </w:p>
        </w:tc>
        <w:tc>
          <w:tcPr>
            <w:tcW w:w="2210"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15</w:t>
            </w:r>
          </w:p>
        </w:tc>
        <w:tc>
          <w:tcPr>
            <w:tcW w:w="2210"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2238"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86.67%</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0" w:type="dxa"/>
            <w:bottom w:w="0" w:type="dxa"/>
            <w:right w:w="0" w:type="dxa"/>
          </w:tblCellMar>
        </w:tblPrEx>
        <w:trPr>
          <w:cantSplit/>
          <w:trHeight w:val="386" w:hRule="atLeast"/>
          <w:tblHeader/>
          <w:jc w:val="center"/>
        </w:trPr>
        <w:tc>
          <w:tcPr>
            <w:tcW w:w="2209"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过程</w:t>
            </w:r>
          </w:p>
        </w:tc>
        <w:tc>
          <w:tcPr>
            <w:tcW w:w="2210"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49</w:t>
            </w:r>
          </w:p>
        </w:tc>
        <w:tc>
          <w:tcPr>
            <w:tcW w:w="2210"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45.50</w:t>
            </w:r>
          </w:p>
        </w:tc>
        <w:tc>
          <w:tcPr>
            <w:tcW w:w="2238"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92.86%</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0" w:type="dxa"/>
            <w:bottom w:w="0" w:type="dxa"/>
            <w:right w:w="0" w:type="dxa"/>
          </w:tblCellMar>
        </w:tblPrEx>
        <w:trPr>
          <w:cantSplit/>
          <w:trHeight w:val="386" w:hRule="atLeast"/>
          <w:tblHeader/>
          <w:jc w:val="center"/>
        </w:trPr>
        <w:tc>
          <w:tcPr>
            <w:tcW w:w="2209"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产出</w:t>
            </w:r>
          </w:p>
        </w:tc>
        <w:tc>
          <w:tcPr>
            <w:tcW w:w="2210"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2210"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238"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0" w:type="dxa"/>
            <w:bottom w:w="0" w:type="dxa"/>
            <w:right w:w="0" w:type="dxa"/>
          </w:tblCellMar>
        </w:tblPrEx>
        <w:trPr>
          <w:cantSplit/>
          <w:trHeight w:val="386" w:hRule="atLeast"/>
          <w:tblHeader/>
          <w:jc w:val="center"/>
        </w:trPr>
        <w:tc>
          <w:tcPr>
            <w:tcW w:w="2209"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效果</w:t>
            </w:r>
          </w:p>
        </w:tc>
        <w:tc>
          <w:tcPr>
            <w:tcW w:w="2210"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20</w:t>
            </w:r>
          </w:p>
        </w:tc>
        <w:tc>
          <w:tcPr>
            <w:tcW w:w="2210"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17.47</w:t>
            </w:r>
          </w:p>
        </w:tc>
        <w:tc>
          <w:tcPr>
            <w:tcW w:w="2238" w:type="dxa"/>
            <w:tcBorders>
              <w:tl2br w:val="nil"/>
              <w:tr2bl w:val="nil"/>
            </w:tcBorders>
            <w:tcMar>
              <w:top w:w="10" w:type="dxa"/>
              <w:left w:w="10" w:type="dxa"/>
              <w:right w:w="10" w:type="dxa"/>
            </w:tcMar>
            <w:vAlign w:val="center"/>
          </w:tcPr>
          <w:p>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87.35%</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0" w:type="dxa"/>
            <w:bottom w:w="0" w:type="dxa"/>
            <w:right w:w="0" w:type="dxa"/>
          </w:tblCellMar>
        </w:tblPrEx>
        <w:trPr>
          <w:cantSplit/>
          <w:trHeight w:val="386" w:hRule="atLeast"/>
          <w:tblHeader/>
          <w:jc w:val="center"/>
        </w:trPr>
        <w:tc>
          <w:tcPr>
            <w:tcW w:w="8867" w:type="dxa"/>
            <w:gridSpan w:val="4"/>
            <w:tcBorders>
              <w:tl2br w:val="nil"/>
              <w:tr2bl w:val="nil"/>
            </w:tcBorders>
            <w:tcMar>
              <w:top w:w="10" w:type="dxa"/>
              <w:left w:w="10" w:type="dxa"/>
              <w:right w:w="10" w:type="dxa"/>
            </w:tcMar>
            <w:vAlign w:val="center"/>
          </w:tcPr>
          <w:p>
            <w:pPr>
              <w:autoSpaceDE w:val="0"/>
              <w:spacing w:line="240" w:lineRule="auto"/>
              <w:ind w:firstLine="482"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bidi="ar"/>
              </w:rPr>
              <w:t>绩效评价得分：</w:t>
            </w:r>
            <w:r>
              <w:rPr>
                <w:rFonts w:hint="eastAsia" w:ascii="仿宋" w:hAnsi="仿宋" w:eastAsia="仿宋" w:cs="仿宋"/>
                <w:b/>
                <w:bCs/>
                <w:sz w:val="24"/>
                <w:szCs w:val="24"/>
                <w:highlight w:val="none"/>
                <w:lang w:val="en-US" w:eastAsia="zh-CN" w:bidi="ar"/>
              </w:rPr>
              <w:t>91</w:t>
            </w:r>
            <w:r>
              <w:rPr>
                <w:rFonts w:hint="eastAsia" w:ascii="仿宋" w:hAnsi="仿宋" w:eastAsia="仿宋" w:cs="仿宋"/>
                <w:b/>
                <w:bCs/>
                <w:sz w:val="24"/>
                <w:szCs w:val="24"/>
                <w:highlight w:val="none"/>
                <w:lang w:bidi="ar"/>
              </w:rPr>
              <w:t>.</w:t>
            </w:r>
            <w:r>
              <w:rPr>
                <w:rFonts w:hint="eastAsia" w:ascii="仿宋" w:hAnsi="仿宋" w:eastAsia="仿宋" w:cs="仿宋"/>
                <w:b/>
                <w:bCs/>
                <w:sz w:val="24"/>
                <w:szCs w:val="24"/>
                <w:highlight w:val="none"/>
                <w:lang w:val="en-US" w:eastAsia="zh-CN" w:bidi="ar"/>
              </w:rPr>
              <w:t xml:space="preserve">97        </w:t>
            </w:r>
            <w:r>
              <w:rPr>
                <w:rFonts w:hint="eastAsia" w:ascii="仿宋" w:hAnsi="仿宋" w:eastAsia="仿宋" w:cs="仿宋"/>
                <w:b/>
                <w:bCs/>
                <w:sz w:val="24"/>
                <w:szCs w:val="24"/>
                <w:highlight w:val="none"/>
                <w:lang w:bidi="ar"/>
              </w:rPr>
              <w:t>综合评价结果等级：</w:t>
            </w:r>
            <w:r>
              <w:rPr>
                <w:rFonts w:hint="eastAsia" w:ascii="仿宋" w:hAnsi="仿宋" w:eastAsia="仿宋" w:cs="仿宋"/>
                <w:b/>
                <w:bCs/>
                <w:sz w:val="24"/>
                <w:szCs w:val="24"/>
                <w:highlight w:val="none"/>
                <w:lang w:val="en-US" w:eastAsia="zh-CN" w:bidi="ar"/>
              </w:rPr>
              <w:t>优</w:t>
            </w:r>
          </w:p>
        </w:tc>
      </w:tr>
    </w:tbl>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20" w:name="_Toc6383"/>
      <w:r>
        <w:rPr>
          <w:rFonts w:hint="eastAsia" w:ascii="仿宋" w:hAnsi="仿宋" w:eastAsia="仿宋" w:cs="仿宋"/>
          <w:b/>
          <w:bCs/>
          <w:sz w:val="32"/>
          <w:szCs w:val="32"/>
          <w:highlight w:val="none"/>
          <w:lang w:bidi="ar"/>
        </w:rPr>
        <w:t>四、绩效评价指标分析</w:t>
      </w:r>
      <w:bookmarkEnd w:id="20"/>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1" w:name="_Toc20844"/>
      <w:r>
        <w:rPr>
          <w:rFonts w:hint="eastAsia" w:ascii="仿宋" w:hAnsi="仿宋" w:eastAsia="仿宋" w:cs="仿宋"/>
          <w:b/>
          <w:bCs/>
          <w:sz w:val="32"/>
          <w:szCs w:val="32"/>
          <w:highlight w:val="none"/>
          <w:lang w:bidi="ar"/>
        </w:rPr>
        <w:t>（一）项目投入情况</w:t>
      </w:r>
      <w:bookmarkEnd w:id="21"/>
    </w:p>
    <w:p>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从目标设定、预算配置两个方面进行评价，满分为15分，总得分</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分。</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表4-1</w:t>
      </w:r>
      <w:r>
        <w:rPr>
          <w:rFonts w:hint="eastAsia" w:ascii="仿宋" w:hAnsi="仿宋" w:eastAsia="仿宋" w:cs="仿宋"/>
          <w:b/>
          <w:bCs/>
          <w:color w:val="000000"/>
          <w:sz w:val="32"/>
          <w:szCs w:val="32"/>
          <w:highlight w:val="none"/>
          <w:lang w:bidi="ar"/>
        </w:rPr>
        <w:t>项目投入情况得分表</w:t>
      </w:r>
    </w:p>
    <w:tbl>
      <w:tblPr>
        <w:tblStyle w:val="11"/>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333"/>
        <w:gridCol w:w="3735"/>
        <w:gridCol w:w="810"/>
        <w:gridCol w:w="744"/>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333"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735"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810"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744" w:type="dxa"/>
            <w:tcBorders>
              <w:top w:val="single" w:color="auto" w:sz="8"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投入</w:t>
            </w:r>
          </w:p>
        </w:tc>
        <w:tc>
          <w:tcPr>
            <w:tcW w:w="727"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1333"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目标设定</w:t>
            </w:r>
          </w:p>
        </w:tc>
        <w:tc>
          <w:tcPr>
            <w:tcW w:w="3735"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绩效目标合法合规合理性</w:t>
            </w:r>
          </w:p>
        </w:tc>
        <w:tc>
          <w:tcPr>
            <w:tcW w:w="810" w:type="dxa"/>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绩效目标与部门职责的相符性</w:t>
            </w:r>
          </w:p>
        </w:tc>
        <w:tc>
          <w:tcPr>
            <w:tcW w:w="810" w:type="dxa"/>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绩效指标清晰量化程度</w:t>
            </w:r>
          </w:p>
        </w:tc>
        <w:tc>
          <w:tcPr>
            <w:tcW w:w="810" w:type="dxa"/>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绩效目标与年度任务对应性</w:t>
            </w:r>
          </w:p>
        </w:tc>
        <w:tc>
          <w:tcPr>
            <w:tcW w:w="810" w:type="dxa"/>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绩效目标与预算资金匹配性</w:t>
            </w:r>
          </w:p>
        </w:tc>
        <w:tc>
          <w:tcPr>
            <w:tcW w:w="810" w:type="dxa"/>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w:t>
            </w:r>
          </w:p>
        </w:tc>
        <w:tc>
          <w:tcPr>
            <w:tcW w:w="744"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333"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预算配置</w:t>
            </w:r>
          </w:p>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在职人员控制率</w:t>
            </w:r>
          </w:p>
        </w:tc>
        <w:tc>
          <w:tcPr>
            <w:tcW w:w="810" w:type="dxa"/>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“三公经费”变动率</w:t>
            </w:r>
          </w:p>
        </w:tc>
        <w:tc>
          <w:tcPr>
            <w:tcW w:w="810" w:type="dxa"/>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重点支出安排率</w:t>
            </w:r>
          </w:p>
        </w:tc>
        <w:tc>
          <w:tcPr>
            <w:tcW w:w="810" w:type="dxa"/>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5068" w:type="dxa"/>
            <w:gridSpan w:val="2"/>
            <w:tcBorders>
              <w:top w:val="dotted" w:color="auto" w:sz="4" w:space="0"/>
              <w:left w:val="dotted" w:color="auto" w:sz="4" w:space="0"/>
              <w:bottom w:val="single" w:color="auto" w:sz="8"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合计</w:t>
            </w:r>
          </w:p>
        </w:tc>
        <w:tc>
          <w:tcPr>
            <w:tcW w:w="810" w:type="dxa"/>
            <w:tcBorders>
              <w:top w:val="dotted" w:color="auto" w:sz="4" w:space="0"/>
              <w:left w:val="dotted" w:color="auto" w:sz="4" w:space="0"/>
              <w:bottom w:val="single" w:color="auto" w:sz="8"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15</w:t>
            </w:r>
          </w:p>
        </w:tc>
        <w:tc>
          <w:tcPr>
            <w:tcW w:w="744" w:type="dxa"/>
            <w:tcBorders>
              <w:top w:val="dotted" w:color="auto" w:sz="4" w:space="0"/>
              <w:left w:val="dotted" w:color="auto" w:sz="4" w:space="0"/>
              <w:bottom w:val="single" w:color="auto" w:sz="8" w:space="0"/>
              <w:right w:val="nil"/>
            </w:tcBorders>
            <w:vAlign w:val="center"/>
          </w:tcPr>
          <w:p>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13</w:t>
            </w:r>
          </w:p>
        </w:tc>
      </w:tr>
    </w:tbl>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1.目标设定情况</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（1）绩效目标合法合规合理性</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市地震局设立的整体支出绩效目标依据充分，符合客观实际、符合国家法律法规、国民经济和社会发展总体规划。本项满分1分，实际得分1分。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（2）绩效目标与部门职责的相符性</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市地震局</w:t>
      </w:r>
      <w:r>
        <w:rPr>
          <w:rStyle w:val="16"/>
          <w:rFonts w:hint="eastAsia" w:ascii="仿宋" w:hAnsi="仿宋" w:eastAsia="仿宋" w:cs="仿宋"/>
          <w:sz w:val="32"/>
          <w:szCs w:val="32"/>
          <w:highlight w:val="none"/>
          <w:lang w:bidi="ar"/>
        </w:rPr>
        <w:t>的绩效目标符合部门“三定”方案确定的职责</w:t>
      </w:r>
      <w:r>
        <w:rPr>
          <w:rStyle w:val="16"/>
          <w:rFonts w:hint="eastAsia" w:ascii="仿宋" w:hAnsi="仿宋" w:eastAsia="仿宋" w:cs="仿宋"/>
          <w:sz w:val="32"/>
          <w:szCs w:val="32"/>
          <w:highlight w:val="none"/>
          <w:lang w:val="en-US" w:eastAsia="zh-CN" w:bidi="ar"/>
        </w:rPr>
        <w:t>相符</w:t>
      </w:r>
      <w:r>
        <w:rPr>
          <w:rStyle w:val="16"/>
          <w:rFonts w:hint="eastAsia" w:ascii="仿宋" w:hAnsi="仿宋" w:eastAsia="仿宋" w:cs="仿宋"/>
          <w:sz w:val="32"/>
          <w:szCs w:val="32"/>
          <w:highlight w:val="none"/>
          <w:lang w:bidi="ar"/>
        </w:rPr>
        <w:t>。</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（3）绩效指标清晰量化程度</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市地震局设置的</w:t>
      </w:r>
      <w:r>
        <w:rPr>
          <w:rFonts w:hint="eastAsia" w:ascii="仿宋" w:hAnsi="仿宋" w:eastAsia="仿宋" w:cs="仿宋"/>
          <w:color w:val="000000"/>
          <w:kern w:val="2"/>
          <w:sz w:val="32"/>
          <w:szCs w:val="32"/>
          <w:lang w:val="en-US" w:eastAsia="zh-CN" w:bidi="ar-SA"/>
        </w:rPr>
        <w:t>绩效目标基本具体细化为可量化评估的指标；绩效目标清晰可衡量</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（4）绩效目标与年度任务对应性</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Style w:val="14"/>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auto"/>
          <w:kern w:val="2"/>
          <w:sz w:val="32"/>
          <w:szCs w:val="32"/>
          <w:lang w:val="en-US" w:eastAsia="zh-CN" w:bidi="ar"/>
        </w:rPr>
        <w:t>设置的绩效目标与年度的任务数或计划数相对应。</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（5）绩效目标与预算资金匹配性</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Style w:val="16"/>
          <w:rFonts w:hint="eastAsia" w:ascii="仿宋" w:hAnsi="仿宋" w:eastAsia="仿宋" w:cs="仿宋"/>
          <w:sz w:val="32"/>
          <w:szCs w:val="32"/>
          <w:highlight w:val="none"/>
          <w:lang w:eastAsia="zh-CN" w:bidi="ar"/>
        </w:rPr>
        <w:t>绩效目标表</w:t>
      </w:r>
      <w:r>
        <w:rPr>
          <w:rStyle w:val="16"/>
          <w:rFonts w:hint="eastAsia" w:ascii="仿宋" w:hAnsi="仿宋" w:eastAsia="仿宋" w:cs="仿宋"/>
          <w:sz w:val="32"/>
          <w:szCs w:val="32"/>
          <w:highlight w:val="none"/>
          <w:lang w:val="en-US" w:eastAsia="zh-CN" w:bidi="ar"/>
        </w:rPr>
        <w:t>中</w:t>
      </w:r>
      <w:r>
        <w:rPr>
          <w:rStyle w:val="16"/>
          <w:rFonts w:hint="eastAsia" w:ascii="仿宋" w:hAnsi="仿宋" w:eastAsia="仿宋" w:cs="仿宋"/>
          <w:sz w:val="32"/>
          <w:szCs w:val="32"/>
          <w:highlight w:val="none"/>
          <w:lang w:eastAsia="zh-CN" w:bidi="ar"/>
        </w:rPr>
        <w:t>年度资金总额</w:t>
      </w:r>
      <w:r>
        <w:rPr>
          <w:rStyle w:val="16"/>
          <w:rFonts w:hint="eastAsia" w:ascii="仿宋" w:hAnsi="仿宋" w:eastAsia="仿宋" w:cs="仿宋"/>
          <w:sz w:val="32"/>
          <w:szCs w:val="32"/>
          <w:highlight w:val="none"/>
          <w:lang w:val="en-US" w:eastAsia="zh-CN" w:bidi="ar"/>
        </w:rPr>
        <w:t>为</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68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81万</w:t>
      </w:r>
      <w:r>
        <w:rPr>
          <w:rStyle w:val="16"/>
          <w:rFonts w:hint="eastAsia" w:ascii="仿宋" w:hAnsi="仿宋" w:eastAsia="仿宋" w:cs="仿宋"/>
          <w:sz w:val="32"/>
          <w:szCs w:val="32"/>
          <w:highlight w:val="none"/>
          <w:lang w:eastAsia="zh-CN" w:bidi="ar"/>
        </w:rPr>
        <w:t>元，根据林芝市财政局下达的《关于</w:t>
      </w:r>
      <w:r>
        <w:rPr>
          <w:rStyle w:val="16"/>
          <w:rFonts w:hint="eastAsia" w:ascii="仿宋" w:hAnsi="仿宋" w:eastAsia="仿宋" w:cs="仿宋"/>
          <w:sz w:val="32"/>
          <w:szCs w:val="32"/>
          <w:highlight w:val="none"/>
          <w:lang w:val="en-US" w:eastAsia="zh-CN" w:bidi="ar"/>
        </w:rPr>
        <w:t>调减各项经费</w:t>
      </w:r>
      <w:r>
        <w:rPr>
          <w:rStyle w:val="16"/>
          <w:rFonts w:hint="eastAsia" w:ascii="仿宋" w:hAnsi="仿宋" w:eastAsia="仿宋" w:cs="仿宋"/>
          <w:sz w:val="32"/>
          <w:szCs w:val="32"/>
          <w:highlight w:val="none"/>
          <w:lang w:eastAsia="zh-CN" w:bidi="ar"/>
        </w:rPr>
        <w:t>预算指标的通知》林财</w:t>
      </w:r>
      <w:r>
        <w:rPr>
          <w:rStyle w:val="16"/>
          <w:rFonts w:hint="eastAsia" w:ascii="仿宋" w:hAnsi="仿宋" w:eastAsia="仿宋" w:cs="仿宋"/>
          <w:sz w:val="32"/>
          <w:szCs w:val="32"/>
          <w:highlight w:val="none"/>
          <w:lang w:val="en-US" w:eastAsia="zh-CN" w:bidi="ar"/>
        </w:rPr>
        <w:t>科教</w:t>
      </w:r>
      <w:r>
        <w:rPr>
          <w:rStyle w:val="16"/>
          <w:rFonts w:hint="eastAsia" w:ascii="仿宋" w:hAnsi="仿宋" w:eastAsia="仿宋" w:cs="仿宋"/>
          <w:sz w:val="32"/>
          <w:szCs w:val="32"/>
          <w:highlight w:val="none"/>
          <w:lang w:eastAsia="zh-CN" w:bidi="ar"/>
        </w:rPr>
        <w:t>指〔20</w:t>
      </w:r>
      <w:r>
        <w:rPr>
          <w:rStyle w:val="16"/>
          <w:rFonts w:hint="eastAsia" w:ascii="仿宋" w:hAnsi="仿宋" w:eastAsia="仿宋" w:cs="仿宋"/>
          <w:sz w:val="32"/>
          <w:szCs w:val="32"/>
          <w:highlight w:val="none"/>
          <w:lang w:val="en-US" w:eastAsia="zh-CN" w:bidi="ar"/>
        </w:rPr>
        <w:t>23</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126</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文</w:t>
      </w:r>
      <w:r>
        <w:rPr>
          <w:rStyle w:val="16"/>
          <w:rFonts w:hint="eastAsia" w:ascii="仿宋" w:hAnsi="仿宋" w:eastAsia="仿宋" w:cs="仿宋"/>
          <w:sz w:val="32"/>
          <w:szCs w:val="32"/>
          <w:highlight w:val="none"/>
          <w:lang w:eastAsia="zh-CN" w:bidi="ar"/>
        </w:rPr>
        <w:t>、《关于</w:t>
      </w:r>
      <w:r>
        <w:rPr>
          <w:rStyle w:val="16"/>
          <w:rFonts w:hint="eastAsia" w:ascii="仿宋" w:hAnsi="仿宋" w:eastAsia="仿宋" w:cs="仿宋"/>
          <w:sz w:val="32"/>
          <w:szCs w:val="32"/>
          <w:highlight w:val="none"/>
          <w:lang w:val="en-US" w:eastAsia="zh-CN" w:bidi="ar"/>
        </w:rPr>
        <w:t>调减各项经费</w:t>
      </w:r>
      <w:r>
        <w:rPr>
          <w:rStyle w:val="16"/>
          <w:rFonts w:hint="eastAsia" w:ascii="仿宋" w:hAnsi="仿宋" w:eastAsia="仿宋" w:cs="仿宋"/>
          <w:sz w:val="32"/>
          <w:szCs w:val="32"/>
          <w:highlight w:val="none"/>
          <w:lang w:eastAsia="zh-CN" w:bidi="ar"/>
        </w:rPr>
        <w:t>预算指标的通知》林财</w:t>
      </w:r>
      <w:r>
        <w:rPr>
          <w:rStyle w:val="16"/>
          <w:rFonts w:hint="eastAsia" w:ascii="仿宋" w:hAnsi="仿宋" w:eastAsia="仿宋" w:cs="仿宋"/>
          <w:sz w:val="32"/>
          <w:szCs w:val="32"/>
          <w:highlight w:val="none"/>
          <w:lang w:val="en-US" w:eastAsia="zh-CN" w:bidi="ar"/>
        </w:rPr>
        <w:t>科教</w:t>
      </w:r>
      <w:r>
        <w:rPr>
          <w:rStyle w:val="16"/>
          <w:rFonts w:hint="eastAsia" w:ascii="仿宋" w:hAnsi="仿宋" w:eastAsia="仿宋" w:cs="仿宋"/>
          <w:sz w:val="32"/>
          <w:szCs w:val="32"/>
          <w:highlight w:val="none"/>
          <w:lang w:eastAsia="zh-CN" w:bidi="ar"/>
        </w:rPr>
        <w:t>指〔2023〕</w:t>
      </w:r>
      <w:r>
        <w:rPr>
          <w:rStyle w:val="16"/>
          <w:rFonts w:hint="eastAsia" w:ascii="仿宋" w:hAnsi="仿宋" w:eastAsia="仿宋" w:cs="仿宋"/>
          <w:sz w:val="32"/>
          <w:szCs w:val="32"/>
          <w:highlight w:val="none"/>
          <w:lang w:val="en-US" w:eastAsia="zh-CN" w:bidi="ar"/>
        </w:rPr>
        <w:t>106</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文等</w:t>
      </w:r>
      <w:r>
        <w:rPr>
          <w:rStyle w:val="16"/>
          <w:rFonts w:hint="eastAsia" w:ascii="仿宋" w:hAnsi="仿宋" w:eastAsia="仿宋" w:cs="仿宋"/>
          <w:sz w:val="32"/>
          <w:szCs w:val="32"/>
          <w:highlight w:val="none"/>
          <w:lang w:eastAsia="zh-CN" w:bidi="ar"/>
        </w:rPr>
        <w:t>，综合调</w:t>
      </w:r>
      <w:r>
        <w:rPr>
          <w:rStyle w:val="16"/>
          <w:rFonts w:hint="eastAsia" w:ascii="仿宋" w:hAnsi="仿宋" w:eastAsia="仿宋" w:cs="仿宋"/>
          <w:sz w:val="32"/>
          <w:szCs w:val="32"/>
          <w:highlight w:val="none"/>
          <w:lang w:val="en-US" w:eastAsia="zh-CN" w:bidi="ar"/>
        </w:rPr>
        <w:t>减</w:t>
      </w:r>
      <w:r>
        <w:rPr>
          <w:rFonts w:hint="eastAsia" w:ascii="仿宋" w:hAnsi="仿宋" w:eastAsia="仿宋" w:cs="仿宋"/>
          <w:sz w:val="32"/>
          <w:szCs w:val="32"/>
          <w:highlight w:val="none"/>
          <w:lang w:val="en-US" w:eastAsia="zh-CN"/>
        </w:rPr>
        <w:t>9.61万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Style w:val="16"/>
          <w:rFonts w:hint="eastAsia" w:ascii="仿宋" w:hAnsi="仿宋" w:eastAsia="仿宋" w:cs="仿宋"/>
          <w:sz w:val="32"/>
          <w:szCs w:val="32"/>
          <w:highlight w:val="none"/>
          <w:lang w:eastAsia="zh-CN" w:bidi="ar"/>
        </w:rPr>
        <w:t>本年度调剂后部门预算资金总额3</w:t>
      </w:r>
      <w:r>
        <w:rPr>
          <w:rStyle w:val="16"/>
          <w:rFonts w:hint="eastAsia" w:ascii="仿宋" w:hAnsi="仿宋" w:eastAsia="仿宋" w:cs="仿宋"/>
          <w:sz w:val="32"/>
          <w:szCs w:val="32"/>
          <w:highlight w:val="none"/>
          <w:lang w:val="en-US" w:eastAsia="zh-CN" w:bidi="ar"/>
        </w:rPr>
        <w:t>59</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20万</w:t>
      </w:r>
      <w:r>
        <w:rPr>
          <w:rStyle w:val="16"/>
          <w:rFonts w:hint="eastAsia" w:ascii="仿宋" w:hAnsi="仿宋" w:eastAsia="仿宋" w:cs="仿宋"/>
          <w:sz w:val="32"/>
          <w:szCs w:val="32"/>
          <w:highlight w:val="none"/>
          <w:lang w:eastAsia="zh-CN" w:bidi="ar"/>
        </w:rPr>
        <w:t>元。绩效目标与预算资金相匹配，</w:t>
      </w:r>
      <w:r>
        <w:rPr>
          <w:rStyle w:val="16"/>
          <w:rFonts w:hint="eastAsia" w:ascii="仿宋" w:hAnsi="仿宋" w:eastAsia="仿宋" w:cs="仿宋"/>
          <w:sz w:val="32"/>
          <w:szCs w:val="32"/>
          <w:highlight w:val="none"/>
          <w:lang w:val="en-US" w:eastAsia="zh-CN" w:bidi="ar"/>
        </w:rPr>
        <w:t>本项</w:t>
      </w:r>
      <w:r>
        <w:rPr>
          <w:rStyle w:val="16"/>
          <w:rFonts w:hint="eastAsia" w:ascii="仿宋" w:hAnsi="仿宋" w:eastAsia="仿宋" w:cs="仿宋"/>
          <w:sz w:val="32"/>
          <w:szCs w:val="32"/>
          <w:highlight w:val="none"/>
          <w:lang w:eastAsia="zh-CN" w:bidi="ar"/>
        </w:rPr>
        <w:t>满分2分，实际得分2分。</w:t>
      </w:r>
    </w:p>
    <w:p>
      <w:pPr>
        <w:pStyle w:val="9"/>
        <w:autoSpaceDE w:val="0"/>
        <w:spacing w:line="360" w:lineRule="auto"/>
        <w:ind w:firstLine="643" w:firstLineChars="200"/>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2.预算配置情况</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5"/>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w:t>
      </w:r>
      <w:r>
        <w:rPr>
          <w:rStyle w:val="14"/>
          <w:rFonts w:hint="eastAsia" w:ascii="仿宋" w:hAnsi="仿宋" w:eastAsia="仿宋" w:cs="仿宋"/>
          <w:sz w:val="32"/>
          <w:szCs w:val="32"/>
          <w:highlight w:val="none"/>
          <w:lang w:eastAsia="zh-CN" w:bidi="ar"/>
        </w:rPr>
        <w:t>）</w:t>
      </w:r>
      <w:r>
        <w:rPr>
          <w:rStyle w:val="15"/>
          <w:rFonts w:hint="eastAsia" w:ascii="仿宋" w:hAnsi="仿宋" w:eastAsia="仿宋" w:cs="仿宋"/>
          <w:sz w:val="32"/>
          <w:szCs w:val="32"/>
          <w:highlight w:val="none"/>
          <w:lang w:bidi="ar"/>
        </w:rPr>
        <w:t>在职人员控制率</w:t>
      </w:r>
    </w:p>
    <w:p>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Style w:val="15"/>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市地震局</w:t>
      </w:r>
      <w:r>
        <w:rPr>
          <w:rStyle w:val="15"/>
          <w:rFonts w:hint="eastAsia" w:ascii="仿宋" w:hAnsi="仿宋" w:eastAsia="仿宋" w:cs="仿宋"/>
          <w:color w:val="000000"/>
          <w:sz w:val="32"/>
          <w:szCs w:val="32"/>
          <w:lang w:val="en-US" w:eastAsia="zh-CN" w:bidi="ar"/>
        </w:rPr>
        <w:t>2023年在职人员8人，核定编制10名，在职人员控制率为80.00%。本项满分3分，扣2分，实际得分1分。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（2）“三公经费”变动率</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市地震局</w:t>
      </w:r>
      <w:r>
        <w:rPr>
          <w:rStyle w:val="14"/>
          <w:rFonts w:hint="eastAsia" w:ascii="仿宋" w:hAnsi="仿宋" w:eastAsia="仿宋" w:cs="仿宋"/>
          <w:color w:val="000000"/>
          <w:sz w:val="32"/>
          <w:szCs w:val="32"/>
          <w:lang w:val="en-US" w:eastAsia="zh-CN" w:bidi="ar"/>
        </w:rPr>
        <w:t>2023年三公经费预算数为7.99万元，2022年三公经费预算数为10.79万元，三公经费变动率为-25.95%,本项满分3分，实际得分3分。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（3）重点支出安排率</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Style w:val="14"/>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市地震局</w:t>
      </w:r>
      <w:r>
        <w:rPr>
          <w:rStyle w:val="16"/>
          <w:rFonts w:hint="eastAsia" w:ascii="仿宋" w:hAnsi="仿宋" w:eastAsia="仿宋" w:cs="仿宋"/>
          <w:sz w:val="32"/>
          <w:szCs w:val="32"/>
          <w:highlight w:val="none"/>
          <w:lang w:bidi="ar"/>
        </w:rPr>
        <w:t>将项目支出金额大于</w:t>
      </w:r>
      <w:r>
        <w:rPr>
          <w:rStyle w:val="16"/>
          <w:rFonts w:hint="eastAsia" w:ascii="仿宋" w:hAnsi="仿宋" w:eastAsia="仿宋" w:cs="仿宋"/>
          <w:sz w:val="32"/>
          <w:szCs w:val="32"/>
          <w:highlight w:val="none"/>
          <w:lang w:val="en-US" w:eastAsia="zh-CN" w:bidi="ar"/>
        </w:rPr>
        <w:t>2.00</w:t>
      </w:r>
      <w:r>
        <w:rPr>
          <w:rStyle w:val="16"/>
          <w:rFonts w:hint="eastAsia" w:ascii="仿宋" w:hAnsi="仿宋" w:eastAsia="仿宋" w:cs="仿宋"/>
          <w:sz w:val="32"/>
          <w:szCs w:val="32"/>
          <w:highlight w:val="none"/>
          <w:lang w:bidi="ar"/>
        </w:rPr>
        <w:t>万元的列为</w:t>
      </w:r>
      <w:r>
        <w:rPr>
          <w:rStyle w:val="16"/>
          <w:rFonts w:hint="eastAsia" w:ascii="仿宋" w:hAnsi="仿宋" w:eastAsia="仿宋" w:cs="仿宋"/>
          <w:sz w:val="32"/>
          <w:szCs w:val="32"/>
          <w:highlight w:val="none"/>
          <w:lang w:val="en-US" w:eastAsia="zh-CN" w:bidi="ar"/>
        </w:rPr>
        <w:t>重</w:t>
      </w:r>
      <w:r>
        <w:rPr>
          <w:rStyle w:val="16"/>
          <w:rFonts w:hint="eastAsia" w:ascii="仿宋" w:hAnsi="仿宋" w:eastAsia="仿宋" w:cs="仿宋"/>
          <w:sz w:val="32"/>
          <w:szCs w:val="32"/>
          <w:highlight w:val="none"/>
          <w:lang w:bidi="ar"/>
        </w:rPr>
        <w:t>点项目</w:t>
      </w:r>
      <w:r>
        <w:rPr>
          <w:rStyle w:val="14"/>
          <w:rFonts w:hint="eastAsia" w:ascii="仿宋" w:hAnsi="仿宋" w:eastAsia="仿宋" w:cs="仿宋"/>
          <w:color w:val="000000"/>
          <w:sz w:val="32"/>
          <w:szCs w:val="32"/>
          <w:lang w:val="en-US" w:eastAsia="zh-CN" w:bidi="ar"/>
        </w:rPr>
        <w:t>，2023年重点项</w:t>
      </w:r>
      <w:r>
        <w:rPr>
          <w:rStyle w:val="16"/>
          <w:rFonts w:hint="eastAsia" w:ascii="仿宋" w:hAnsi="仿宋" w:eastAsia="仿宋" w:cs="仿宋"/>
          <w:sz w:val="32"/>
          <w:szCs w:val="32"/>
          <w:highlight w:val="none"/>
          <w:lang w:bidi="ar"/>
        </w:rPr>
        <w:t>目</w:t>
      </w:r>
      <w:r>
        <w:rPr>
          <w:rStyle w:val="16"/>
          <w:rFonts w:hint="eastAsia" w:ascii="仿宋" w:hAnsi="仿宋" w:eastAsia="仿宋" w:cs="仿宋"/>
          <w:sz w:val="32"/>
          <w:szCs w:val="32"/>
          <w:highlight w:val="none"/>
          <w:lang w:val="en-US" w:eastAsia="zh-CN" w:bidi="ar"/>
        </w:rPr>
        <w:t>6</w:t>
      </w:r>
      <w:r>
        <w:rPr>
          <w:rStyle w:val="16"/>
          <w:rFonts w:hint="eastAsia" w:ascii="仿宋" w:hAnsi="仿宋" w:eastAsia="仿宋" w:cs="仿宋"/>
          <w:sz w:val="32"/>
          <w:szCs w:val="32"/>
          <w:highlight w:val="none"/>
          <w:lang w:bidi="ar"/>
        </w:rPr>
        <w:t>个，合计金额为</w:t>
      </w:r>
      <w:r>
        <w:rPr>
          <w:rStyle w:val="16"/>
          <w:rFonts w:hint="eastAsia" w:ascii="仿宋" w:hAnsi="仿宋" w:eastAsia="仿宋" w:cs="仿宋"/>
          <w:sz w:val="32"/>
          <w:szCs w:val="32"/>
          <w:highlight w:val="none"/>
          <w:lang w:val="en-US" w:eastAsia="zh-CN" w:bidi="ar"/>
        </w:rPr>
        <w:t>62</w:t>
      </w:r>
      <w:r>
        <w:rPr>
          <w:rStyle w:val="16"/>
          <w:rFonts w:hint="eastAsia" w:ascii="仿宋" w:hAnsi="仿宋" w:eastAsia="仿宋" w:cs="仿宋"/>
          <w:sz w:val="32"/>
          <w:szCs w:val="32"/>
          <w:highlight w:val="none"/>
          <w:lang w:bidi="ar"/>
        </w:rPr>
        <w:t>.</w:t>
      </w:r>
      <w:r>
        <w:rPr>
          <w:rStyle w:val="16"/>
          <w:rFonts w:hint="eastAsia" w:ascii="仿宋" w:hAnsi="仿宋" w:eastAsia="仿宋" w:cs="仿宋"/>
          <w:sz w:val="32"/>
          <w:szCs w:val="32"/>
          <w:highlight w:val="none"/>
          <w:lang w:val="en-US" w:eastAsia="zh-CN" w:bidi="ar"/>
        </w:rPr>
        <w:t>11</w:t>
      </w:r>
      <w:r>
        <w:rPr>
          <w:rStyle w:val="16"/>
          <w:rFonts w:hint="eastAsia" w:ascii="仿宋" w:hAnsi="仿宋" w:eastAsia="仿宋" w:cs="仿宋"/>
          <w:sz w:val="32"/>
          <w:szCs w:val="32"/>
          <w:highlight w:val="none"/>
          <w:lang w:bidi="ar"/>
        </w:rPr>
        <w:t>万元</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bidi="ar"/>
        </w:rPr>
        <w:t>项目总支出</w:t>
      </w:r>
      <w:r>
        <w:rPr>
          <w:rStyle w:val="16"/>
          <w:rFonts w:hint="eastAsia" w:ascii="仿宋" w:hAnsi="仿宋" w:eastAsia="仿宋" w:cs="仿宋"/>
          <w:sz w:val="32"/>
          <w:szCs w:val="32"/>
          <w:highlight w:val="none"/>
          <w:lang w:val="en-US" w:eastAsia="zh-CN" w:bidi="ar"/>
        </w:rPr>
        <w:t>65.23</w:t>
      </w:r>
      <w:r>
        <w:rPr>
          <w:rStyle w:val="16"/>
          <w:rFonts w:hint="eastAsia" w:ascii="仿宋" w:hAnsi="仿宋" w:eastAsia="仿宋" w:cs="仿宋"/>
          <w:sz w:val="32"/>
          <w:szCs w:val="32"/>
          <w:highlight w:val="none"/>
          <w:lang w:bidi="ar"/>
        </w:rPr>
        <w:t>万元。重点项目安排率为</w:t>
      </w:r>
      <w:r>
        <w:rPr>
          <w:rStyle w:val="16"/>
          <w:rFonts w:hint="eastAsia" w:ascii="仿宋" w:hAnsi="仿宋" w:eastAsia="仿宋" w:cs="仿宋"/>
          <w:sz w:val="32"/>
          <w:szCs w:val="32"/>
          <w:highlight w:val="none"/>
          <w:lang w:val="en-US" w:eastAsia="zh-CN" w:bidi="ar"/>
        </w:rPr>
        <w:t>95.22</w:t>
      </w:r>
      <w:r>
        <w:rPr>
          <w:rStyle w:val="16"/>
          <w:rFonts w:hint="eastAsia" w:ascii="仿宋" w:hAnsi="仿宋" w:eastAsia="仿宋" w:cs="仿宋"/>
          <w:sz w:val="32"/>
          <w:szCs w:val="32"/>
          <w:highlight w:val="none"/>
          <w:lang w:bidi="ar"/>
        </w:rPr>
        <w:t>%</w:t>
      </w:r>
      <w:r>
        <w:rPr>
          <w:rStyle w:val="14"/>
          <w:rFonts w:hint="eastAsia" w:ascii="仿宋" w:hAnsi="仿宋" w:eastAsia="仿宋" w:cs="仿宋"/>
          <w:color w:val="000000"/>
          <w:sz w:val="32"/>
          <w:szCs w:val="32"/>
          <w:lang w:val="en-US" w:eastAsia="zh-CN" w:bidi="ar"/>
        </w:rPr>
        <w:t>。本项满分3分，实际得分3分。</w:t>
      </w:r>
    </w:p>
    <w:p>
      <w:pPr>
        <w:pStyle w:val="9"/>
        <w:keepNext w:val="0"/>
        <w:keepLines w:val="0"/>
        <w:pageBreakBefore w:val="0"/>
        <w:widowControl/>
        <w:kinsoku/>
        <w:wordWrap/>
        <w:overflowPunct/>
        <w:topLinePunct w:val="0"/>
        <w:autoSpaceDE/>
        <w:autoSpaceDN/>
        <w:bidi w:val="0"/>
        <w:adjustRightInd/>
        <w:snapToGrid/>
        <w:spacing w:before="165" w:beforeLines="50" w:after="165" w:afterLines="50"/>
        <w:ind w:firstLine="482"/>
        <w:textAlignment w:val="auto"/>
        <w:outlineLvl w:val="1"/>
        <w:rPr>
          <w:rFonts w:hint="eastAsia" w:ascii="仿宋" w:hAnsi="仿宋" w:eastAsia="仿宋" w:cs="仿宋"/>
          <w:b/>
          <w:bCs/>
          <w:sz w:val="32"/>
          <w:szCs w:val="32"/>
          <w:highlight w:val="none"/>
        </w:rPr>
      </w:pPr>
      <w:bookmarkStart w:id="22" w:name="_Toc24460"/>
      <w:r>
        <w:rPr>
          <w:rFonts w:hint="eastAsia" w:ascii="仿宋" w:hAnsi="仿宋" w:eastAsia="仿宋" w:cs="仿宋"/>
          <w:b/>
          <w:bCs/>
          <w:sz w:val="32"/>
          <w:szCs w:val="32"/>
          <w:highlight w:val="none"/>
          <w:lang w:bidi="ar"/>
        </w:rPr>
        <w:t>（二）项目过程情况</w:t>
      </w:r>
      <w:bookmarkEnd w:id="22"/>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bidi="ar"/>
        </w:rPr>
        <w:t>从预算执行、预算管理、资产管理三个方面进行评价，满分为49分，总得分</w:t>
      </w:r>
      <w:r>
        <w:rPr>
          <w:rFonts w:hint="eastAsia" w:ascii="仿宋" w:hAnsi="仿宋" w:eastAsia="仿宋" w:cs="仿宋"/>
          <w:kern w:val="2"/>
          <w:sz w:val="32"/>
          <w:szCs w:val="32"/>
          <w:highlight w:val="none"/>
          <w:lang w:val="en-US" w:eastAsia="zh-CN" w:bidi="ar"/>
        </w:rPr>
        <w:t>45.5</w:t>
      </w:r>
      <w:r>
        <w:rPr>
          <w:rFonts w:hint="eastAsia" w:ascii="仿宋" w:hAnsi="仿宋" w:eastAsia="仿宋" w:cs="仿宋"/>
          <w:kern w:val="2"/>
          <w:sz w:val="32"/>
          <w:szCs w:val="32"/>
          <w:highlight w:val="none"/>
          <w:lang w:bidi="ar"/>
        </w:rPr>
        <w:t>分。</w:t>
      </w:r>
    </w:p>
    <w:p>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表4-2项目过程情况得分表</w:t>
      </w:r>
    </w:p>
    <w:tbl>
      <w:tblPr>
        <w:tblStyle w:val="11"/>
        <w:tblW w:w="8595" w:type="dxa"/>
        <w:jc w:val="center"/>
        <w:tblInd w:w="0"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537"/>
        <w:gridCol w:w="2910"/>
        <w:gridCol w:w="1110"/>
        <w:gridCol w:w="1065"/>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blHeader/>
          <w:jc w:val="center"/>
        </w:trPr>
        <w:tc>
          <w:tcPr>
            <w:tcW w:w="1246" w:type="dxa"/>
            <w:tcBorders>
              <w:top w:val="single" w:color="auto" w:sz="8" w:space="0"/>
              <w:left w:val="nil"/>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537"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910"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10"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065" w:type="dxa"/>
            <w:tcBorders>
              <w:top w:val="single" w:color="auto" w:sz="8"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过程</w:t>
            </w:r>
          </w:p>
        </w:tc>
        <w:tc>
          <w:tcPr>
            <w:tcW w:w="727"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49</w:t>
            </w:r>
          </w:p>
        </w:tc>
        <w:tc>
          <w:tcPr>
            <w:tcW w:w="1537"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预算执行</w:t>
            </w:r>
          </w:p>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预算完成率</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11</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预算调整率</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1.5</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结转结余率</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6</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6</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结转结余变动率</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1</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公用经费控制率</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“三公经费”控制率</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bidi="ar"/>
              </w:rPr>
            </w:pPr>
            <w:r>
              <w:rPr>
                <w:rFonts w:hint="eastAsia" w:ascii="仿宋" w:hAnsi="仿宋" w:eastAsia="仿宋" w:cs="仿宋"/>
                <w:color w:val="000000"/>
                <w:kern w:val="0"/>
                <w:sz w:val="24"/>
                <w:szCs w:val="24"/>
                <w:highlight w:val="none"/>
                <w:lang w:val="en-US" w:eastAsia="zh-CN" w:bidi="ar"/>
              </w:rPr>
              <w:t>1</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政府采购执行率</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预算管理</w:t>
            </w: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资金使用合规性</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预决算信息公开性</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基础信息完善性</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w:t>
            </w: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资产管理安全性</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固定资产利用率</w:t>
            </w:r>
          </w:p>
        </w:tc>
        <w:tc>
          <w:tcPr>
            <w:tcW w:w="1110"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4447" w:type="dxa"/>
            <w:gridSpan w:val="2"/>
            <w:tcBorders>
              <w:top w:val="dotted" w:color="auto" w:sz="4" w:space="0"/>
              <w:left w:val="dotted" w:color="auto" w:sz="4" w:space="0"/>
              <w:bottom w:val="single" w:color="auto" w:sz="8"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10" w:type="dxa"/>
            <w:tcBorders>
              <w:top w:val="dotted" w:color="auto" w:sz="4" w:space="0"/>
              <w:left w:val="dotted" w:color="auto" w:sz="4" w:space="0"/>
              <w:bottom w:val="single" w:color="auto" w:sz="8"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49</w:t>
            </w:r>
          </w:p>
        </w:tc>
        <w:tc>
          <w:tcPr>
            <w:tcW w:w="1065" w:type="dxa"/>
            <w:tcBorders>
              <w:top w:val="dotted" w:color="auto" w:sz="4" w:space="0"/>
              <w:left w:val="dotted" w:color="auto" w:sz="4" w:space="0"/>
              <w:bottom w:val="single" w:color="auto" w:sz="8" w:space="0"/>
              <w:right w:val="nil"/>
            </w:tcBorders>
            <w:vAlign w:val="center"/>
          </w:tcPr>
          <w:p>
            <w:pPr>
              <w:widowControl/>
              <w:autoSpaceDE w:val="0"/>
              <w:spacing w:before="10" w:line="240" w:lineRule="auto"/>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45.5</w:t>
            </w:r>
          </w:p>
        </w:tc>
      </w:tr>
    </w:tbl>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1.预算执行情况</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（1）预算完成率</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val="0"/>
          <w:bCs/>
          <w:color w:val="auto"/>
          <w:kern w:val="2"/>
          <w:sz w:val="32"/>
          <w:szCs w:val="32"/>
          <w:highlight w:val="none"/>
          <w:lang w:val="en-US" w:eastAsia="zh-CN" w:bidi="ar"/>
        </w:rPr>
      </w:pPr>
      <w:r>
        <w:rPr>
          <w:rFonts w:hint="eastAsia" w:ascii="仿宋" w:hAnsi="仿宋" w:eastAsia="仿宋" w:cs="仿宋"/>
          <w:b w:val="0"/>
          <w:bCs/>
          <w:color w:val="auto"/>
          <w:kern w:val="2"/>
          <w:sz w:val="32"/>
          <w:szCs w:val="32"/>
          <w:highlight w:val="none"/>
          <w:lang w:val="en-US" w:eastAsia="zh-CN" w:bidi="ar"/>
        </w:rPr>
        <w:t>《部门预算批复表》中《收支预算总表》的预算数总额为</w:t>
      </w:r>
      <w:r>
        <w:rPr>
          <w:rStyle w:val="16"/>
          <w:rFonts w:hint="eastAsia" w:ascii="仿宋" w:hAnsi="仿宋" w:eastAsia="仿宋" w:cs="仿宋"/>
          <w:sz w:val="32"/>
          <w:szCs w:val="32"/>
          <w:highlight w:val="none"/>
          <w:lang w:eastAsia="zh-CN" w:bidi="ar"/>
        </w:rPr>
        <w:t>3</w:t>
      </w:r>
      <w:r>
        <w:rPr>
          <w:rStyle w:val="16"/>
          <w:rFonts w:hint="eastAsia" w:ascii="仿宋" w:hAnsi="仿宋" w:eastAsia="仿宋" w:cs="仿宋"/>
          <w:sz w:val="32"/>
          <w:szCs w:val="32"/>
          <w:highlight w:val="none"/>
          <w:lang w:val="en-US" w:eastAsia="zh-CN" w:bidi="ar"/>
        </w:rPr>
        <w:t>59</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20万</w:t>
      </w:r>
      <w:r>
        <w:rPr>
          <w:rFonts w:hint="eastAsia" w:ascii="仿宋" w:hAnsi="仿宋" w:eastAsia="仿宋" w:cs="仿宋"/>
          <w:sz w:val="32"/>
          <w:szCs w:val="32"/>
          <w:highlight w:val="none"/>
          <w:lang w:val="en-US" w:eastAsia="zh-CN"/>
        </w:rPr>
        <w:t>元；</w:t>
      </w:r>
      <w:r>
        <w:rPr>
          <w:rFonts w:hint="eastAsia" w:ascii="仿宋" w:hAnsi="仿宋" w:eastAsia="仿宋" w:cs="仿宋"/>
          <w:b w:val="0"/>
          <w:bCs/>
          <w:color w:val="auto"/>
          <w:kern w:val="2"/>
          <w:sz w:val="32"/>
          <w:szCs w:val="32"/>
          <w:highlight w:val="none"/>
          <w:lang w:val="en-US" w:eastAsia="zh-CN" w:bidi="ar"/>
        </w:rPr>
        <w:t>《部门决算报表》中《收入支出决算总表》的决算数为</w:t>
      </w:r>
      <w:r>
        <w:rPr>
          <w:rStyle w:val="16"/>
          <w:rFonts w:hint="eastAsia" w:ascii="仿宋" w:hAnsi="仿宋" w:eastAsia="仿宋" w:cs="仿宋"/>
          <w:sz w:val="32"/>
          <w:szCs w:val="32"/>
          <w:highlight w:val="none"/>
          <w:lang w:eastAsia="zh-CN" w:bidi="ar"/>
        </w:rPr>
        <w:t xml:space="preserve"> </w:t>
      </w:r>
      <w:r>
        <w:rPr>
          <w:rFonts w:hint="eastAsia" w:ascii="仿宋" w:hAnsi="仿宋" w:eastAsia="仿宋" w:cs="仿宋"/>
          <w:sz w:val="32"/>
          <w:szCs w:val="32"/>
          <w:highlight w:val="none"/>
          <w:lang w:val="en-US" w:eastAsia="zh-CN"/>
        </w:rPr>
        <w:t>356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83万元</w:t>
      </w:r>
      <w:r>
        <w:rPr>
          <w:rFonts w:hint="eastAsia" w:ascii="仿宋" w:hAnsi="仿宋" w:eastAsia="仿宋" w:cs="仿宋"/>
          <w:b w:val="0"/>
          <w:bCs/>
          <w:color w:val="auto"/>
          <w:kern w:val="2"/>
          <w:sz w:val="32"/>
          <w:szCs w:val="32"/>
          <w:highlight w:val="none"/>
          <w:lang w:val="en-US" w:eastAsia="zh-CN" w:bidi="ar"/>
        </w:rPr>
        <w:t>；预算完成率为99.34%。本项满分11分，实际得分11分。</w:t>
      </w:r>
    </w:p>
    <w:p>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（2）预算调整率</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kern w:val="2"/>
          <w:sz w:val="32"/>
          <w:szCs w:val="32"/>
          <w:highlight w:val="none"/>
        </w:rPr>
        <w:t>《部门预算批复表》中《收支预算总表》的</w:t>
      </w:r>
      <w:r>
        <w:rPr>
          <w:rFonts w:hint="eastAsia" w:ascii="仿宋" w:hAnsi="仿宋" w:eastAsia="仿宋" w:cs="仿宋"/>
          <w:kern w:val="2"/>
          <w:sz w:val="32"/>
          <w:szCs w:val="32"/>
          <w:highlight w:val="none"/>
          <w:lang w:val="en-US" w:eastAsia="zh-CN"/>
        </w:rPr>
        <w:t>年初</w:t>
      </w:r>
      <w:r>
        <w:rPr>
          <w:rFonts w:hint="eastAsia" w:ascii="仿宋" w:hAnsi="仿宋" w:eastAsia="仿宋" w:cs="仿宋"/>
          <w:kern w:val="2"/>
          <w:sz w:val="32"/>
          <w:szCs w:val="32"/>
          <w:highlight w:val="none"/>
        </w:rPr>
        <w:t>算数</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68.81万</w:t>
      </w:r>
      <w:r>
        <w:rPr>
          <w:rFonts w:hint="eastAsia" w:ascii="仿宋" w:hAnsi="仿宋" w:eastAsia="仿宋" w:cs="仿宋"/>
          <w:kern w:val="2"/>
          <w:sz w:val="32"/>
          <w:szCs w:val="32"/>
          <w:highlight w:val="none"/>
        </w:rPr>
        <w:t>元，综合调</w:t>
      </w:r>
      <w:r>
        <w:rPr>
          <w:rFonts w:hint="eastAsia" w:ascii="仿宋" w:hAnsi="仿宋" w:eastAsia="仿宋" w:cs="仿宋"/>
          <w:kern w:val="2"/>
          <w:sz w:val="32"/>
          <w:szCs w:val="32"/>
          <w:highlight w:val="none"/>
          <w:lang w:val="en-US" w:eastAsia="zh-CN"/>
        </w:rPr>
        <w:t>减</w:t>
      </w:r>
      <w:r>
        <w:rPr>
          <w:rFonts w:hint="eastAsia" w:ascii="仿宋" w:hAnsi="仿宋" w:eastAsia="仿宋" w:cs="仿宋"/>
          <w:kern w:val="2"/>
          <w:sz w:val="32"/>
          <w:szCs w:val="32"/>
          <w:highlight w:val="none"/>
        </w:rPr>
        <w:t>预算指标金额为</w:t>
      </w:r>
      <w:r>
        <w:rPr>
          <w:rFonts w:hint="eastAsia" w:ascii="仿宋" w:hAnsi="仿宋" w:eastAsia="仿宋" w:cs="仿宋"/>
          <w:kern w:val="2"/>
          <w:sz w:val="32"/>
          <w:szCs w:val="32"/>
          <w:highlight w:val="none"/>
          <w:lang w:val="en-US" w:eastAsia="zh-CN"/>
        </w:rPr>
        <w:t>9.61万元</w:t>
      </w:r>
      <w:r>
        <w:rPr>
          <w:rFonts w:hint="eastAsia" w:ascii="仿宋" w:hAnsi="仿宋" w:eastAsia="仿宋" w:cs="仿宋"/>
          <w:kern w:val="2"/>
          <w:sz w:val="32"/>
          <w:szCs w:val="32"/>
          <w:highlight w:val="none"/>
        </w:rPr>
        <w:t>，调整后全年预算金额为</w:t>
      </w:r>
      <w:r>
        <w:rPr>
          <w:rStyle w:val="16"/>
          <w:rFonts w:hint="eastAsia" w:ascii="仿宋" w:hAnsi="仿宋" w:eastAsia="仿宋" w:cs="仿宋"/>
          <w:sz w:val="32"/>
          <w:szCs w:val="32"/>
          <w:highlight w:val="none"/>
          <w:lang w:eastAsia="zh-CN" w:bidi="ar"/>
        </w:rPr>
        <w:t>3</w:t>
      </w:r>
      <w:r>
        <w:rPr>
          <w:rStyle w:val="16"/>
          <w:rFonts w:hint="eastAsia" w:ascii="仿宋" w:hAnsi="仿宋" w:eastAsia="仿宋" w:cs="仿宋"/>
          <w:sz w:val="32"/>
          <w:szCs w:val="32"/>
          <w:highlight w:val="none"/>
          <w:lang w:val="en-US" w:eastAsia="zh-CN" w:bidi="ar"/>
        </w:rPr>
        <w:t>59</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20万</w:t>
      </w:r>
      <w:r>
        <w:rPr>
          <w:rFonts w:hint="eastAsia" w:ascii="仿宋" w:hAnsi="仿宋" w:eastAsia="仿宋" w:cs="仿宋"/>
          <w:sz w:val="32"/>
          <w:szCs w:val="32"/>
          <w:highlight w:val="none"/>
          <w:lang w:val="en-US" w:eastAsia="zh-CN"/>
        </w:rPr>
        <w:t>元。预算调整率为2.68%，本项满分2分，扣0.5分，实际得分1.5分。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3</w:t>
      </w:r>
      <w:r>
        <w:rPr>
          <w:rFonts w:hint="eastAsia" w:ascii="仿宋" w:hAnsi="仿宋" w:eastAsia="仿宋" w:cs="仿宋"/>
          <w:kern w:val="2"/>
          <w:sz w:val="32"/>
          <w:szCs w:val="32"/>
          <w:highlight w:val="none"/>
          <w:lang w:bidi="ar"/>
        </w:rPr>
        <w:t>）结转结余率</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lang w:eastAsia="zh-CN"/>
        </w:rPr>
      </w:pPr>
      <w:r>
        <w:rPr>
          <w:rFonts w:hint="eastAsia" w:ascii="仿宋" w:hAnsi="仿宋" w:eastAsia="仿宋" w:cs="仿宋"/>
          <w:kern w:val="2"/>
          <w:sz w:val="32"/>
          <w:szCs w:val="32"/>
          <w:lang w:val="en-US" w:eastAsia="zh-CN" w:bidi="ar"/>
        </w:rPr>
        <w:t>市地震局</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结转结余数为2.37万元，结转结余率为0.66%。本项满分6分，实际得分6分。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4</w:t>
      </w: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结</w:t>
      </w:r>
      <w:r>
        <w:rPr>
          <w:rFonts w:hint="eastAsia" w:ascii="仿宋" w:hAnsi="仿宋" w:eastAsia="仿宋" w:cs="仿宋"/>
          <w:kern w:val="2"/>
          <w:sz w:val="32"/>
          <w:szCs w:val="32"/>
          <w:highlight w:val="none"/>
          <w:lang w:bidi="ar"/>
        </w:rPr>
        <w:t>转结余变动率</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结转结余数2.37万元，2022年结转结余数为22.57万元，结转结余变动率-89.50%。本项满分1分，扣1分，实际得分0分。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2"/>
          <w:szCs w:val="32"/>
          <w:highlight w:val="none"/>
          <w:lang w:bidi="ar"/>
        </w:rPr>
        <w:t>）公用经费控制率</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auto"/>
          <w:kern w:val="2"/>
          <w:sz w:val="32"/>
          <w:szCs w:val="32"/>
          <w:highlight w:val="none"/>
          <w:lang w:val="en-US" w:eastAsia="zh-CN" w:bidi="ar"/>
        </w:rPr>
        <w:t>2023年实际支出公用经费总额为13.88万元，2023年公用经费全年预算总额为13.88万元，公用经费控制率为100.00%。本项满分2分，实际得分2分。</w:t>
      </w:r>
    </w:p>
    <w:p>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2"/>
          <w:szCs w:val="32"/>
          <w:highlight w:val="none"/>
          <w:lang w:bidi="ar"/>
        </w:rPr>
        <w:t>）“三公经费 ”控制率</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000000"/>
          <w:kern w:val="2"/>
          <w:sz w:val="32"/>
          <w:szCs w:val="32"/>
          <w:lang w:val="en-US" w:eastAsia="zh-CN" w:bidi="ar"/>
        </w:rPr>
        <w:t>2023年“三公经费”实际支出数为7.99万元，2023年“三公经费”预算安排数为7.99万元，“三公经费”控制率为100.00%。本项满分2分，扣1分，实际得分1分。</w:t>
      </w:r>
    </w:p>
    <w:p>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7</w:t>
      </w:r>
      <w:r>
        <w:rPr>
          <w:rFonts w:hint="eastAsia" w:ascii="仿宋" w:hAnsi="仿宋" w:eastAsia="仿宋" w:cs="仿宋"/>
          <w:kern w:val="2"/>
          <w:sz w:val="32"/>
          <w:szCs w:val="32"/>
          <w:highlight w:val="none"/>
          <w:lang w:bidi="ar"/>
        </w:rPr>
        <w:t>）政府采购执行率</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kern w:val="2"/>
          <w:sz w:val="32"/>
          <w:szCs w:val="32"/>
          <w:highlight w:val="none"/>
        </w:rPr>
        <w:t>2023年</w:t>
      </w:r>
      <w:r>
        <w:rPr>
          <w:rFonts w:hint="eastAsia" w:ascii="仿宋" w:hAnsi="仿宋" w:eastAsia="仿宋" w:cs="仿宋"/>
          <w:color w:val="000000"/>
          <w:kern w:val="2"/>
          <w:sz w:val="32"/>
          <w:szCs w:val="32"/>
          <w:lang w:val="en-US" w:eastAsia="zh" w:bidi="ar-SA"/>
        </w:rPr>
        <w:t>度</w:t>
      </w:r>
      <w:r>
        <w:rPr>
          <w:rFonts w:hint="eastAsia" w:ascii="仿宋" w:hAnsi="仿宋" w:eastAsia="仿宋" w:cs="仿宋"/>
          <w:color w:val="000000"/>
          <w:kern w:val="2"/>
          <w:sz w:val="32"/>
          <w:szCs w:val="32"/>
          <w:lang w:val="en-US" w:eastAsia="zh-CN" w:bidi="ar-SA"/>
        </w:rPr>
        <w:t>无政府采购项目</w:t>
      </w:r>
      <w:r>
        <w:rPr>
          <w:rFonts w:hint="eastAsia" w:ascii="仿宋" w:hAnsi="仿宋" w:eastAsia="仿宋" w:cs="仿宋"/>
          <w:b w:val="0"/>
          <w:bCs/>
          <w:color w:val="auto"/>
          <w:kern w:val="2"/>
          <w:sz w:val="32"/>
          <w:szCs w:val="32"/>
          <w:highlight w:val="none"/>
          <w:lang w:val="en-US" w:eastAsia="zh-CN" w:bidi="ar"/>
        </w:rPr>
        <w:t>，政府采购执行率为0。本项满分3分，实际得分3分。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2.预算管理情况</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（1）管理制度健全性</w:t>
      </w:r>
    </w:p>
    <w:p>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市地震局制定了</w:t>
      </w:r>
      <w:r>
        <w:rPr>
          <w:rFonts w:hint="eastAsia" w:ascii="仿宋" w:hAnsi="仿宋" w:eastAsia="仿宋" w:cs="仿宋"/>
          <w:color w:val="000000"/>
          <w:kern w:val="0"/>
          <w:sz w:val="32"/>
          <w:szCs w:val="32"/>
          <w:lang w:val="en-US" w:eastAsia="zh-CN" w:bidi="ar"/>
        </w:rPr>
        <w:t>财务管理制度、业务层面内部控制制度、财务工作人员职责制度。建立了部门内控制度或措施，相关管理办法、制度、措施得到有效执行。</w:t>
      </w:r>
      <w:r>
        <w:rPr>
          <w:rFonts w:hint="eastAsia" w:ascii="仿宋" w:hAnsi="仿宋" w:eastAsia="仿宋" w:cs="仿宋"/>
          <w:color w:val="000000"/>
          <w:kern w:val="2"/>
          <w:sz w:val="32"/>
          <w:szCs w:val="32"/>
          <w:lang w:val="en-US" w:eastAsia="zh-CN" w:bidi="ar"/>
        </w:rPr>
        <w:t>本项满分3分，实际得分3分。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（2）资金使用合规性</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000000"/>
          <w:kern w:val="0"/>
          <w:sz w:val="32"/>
          <w:szCs w:val="32"/>
          <w:lang w:val="en-US" w:eastAsia="zh-CN" w:bidi="ar"/>
        </w:rPr>
        <w:t>使用预算资金符合国家财经法规和财务管理制度规定以及有关专项资金管理办法的规定；资金拨付有完整的审批程序和手续；项目的重大开支经过评估论证，符合预算批复的用途，不存在截留、挤占、挪用、虚列支出等情况。</w:t>
      </w:r>
      <w:r>
        <w:rPr>
          <w:rFonts w:hint="eastAsia" w:ascii="仿宋" w:hAnsi="仿宋" w:eastAsia="仿宋" w:cs="仿宋"/>
          <w:color w:val="000000"/>
          <w:kern w:val="2"/>
          <w:sz w:val="32"/>
          <w:szCs w:val="32"/>
          <w:lang w:val="en-US" w:eastAsia="zh-CN" w:bidi="ar"/>
        </w:rPr>
        <w:t>本项满分5分，得5分。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（3）预决算信息公开性</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财政部关于印发《地方预决算公开操作规程》 的通知（财预〔2016〕143 号）“地方各级财政部门和各部门建有门户网站的，应当在门户网站公开预决算，并永久保留，其中当年预决算应当公开在网站醒目位置：没有门户网站的，应当采取措施在公开媒体公开预决算.并积极推动门户网站建设”</w:t>
      </w:r>
      <w:r>
        <w:rPr>
          <w:rFonts w:hint="eastAsia" w:ascii="仿宋" w:hAnsi="仿宋" w:eastAsia="仿宋" w:cs="仿宋"/>
          <w:sz w:val="32"/>
          <w:szCs w:val="32"/>
          <w:highlight w:val="none"/>
          <w:lang w:eastAsia="zh-CN"/>
        </w:rPr>
        <w:t>。</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按规定按时在政府公开信息网站上公开单位2023年预算情况，2023年决算尚未批复，故尚未公开。</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（4）基础信息完善性</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经抽查</w:t>
      </w:r>
      <w:r>
        <w:rPr>
          <w:rFonts w:hint="eastAsia" w:ascii="仿宋" w:hAnsi="仿宋" w:eastAsia="仿宋" w:cs="仿宋"/>
          <w:sz w:val="32"/>
          <w:szCs w:val="32"/>
          <w:highlight w:val="none"/>
          <w:lang w:val="en-US" w:eastAsia="zh-CN"/>
        </w:rPr>
        <w:t>财务凭证，业务附件真实完整</w:t>
      </w:r>
      <w:r>
        <w:rPr>
          <w:rFonts w:hint="eastAsia" w:ascii="仿宋" w:hAnsi="仿宋" w:eastAsia="仿宋" w:cs="仿宋"/>
          <w:sz w:val="32"/>
          <w:szCs w:val="32"/>
          <w:highlight w:val="none"/>
        </w:rPr>
        <w:t>，基础数据信息和会计信息资料真实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完整、准确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3.资产管理情况</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（1）资产管理制度健全性</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000000"/>
          <w:kern w:val="0"/>
          <w:sz w:val="32"/>
          <w:szCs w:val="32"/>
          <w:lang w:val="en-US" w:eastAsia="zh-CN" w:bidi="ar"/>
        </w:rPr>
        <w:t>制定了固定资产管理制度、财务管理制度等管理办法和制度。相关资产管理制度合法、合规、完整，相关资产管理制度得到有效执行，固定资产制度中的盘点要求未得到有效执行。</w:t>
      </w:r>
      <w:r>
        <w:rPr>
          <w:rFonts w:hint="eastAsia" w:ascii="仿宋" w:hAnsi="仿宋" w:eastAsia="仿宋" w:cs="仿宋"/>
          <w:color w:val="000000"/>
          <w:kern w:val="2"/>
          <w:sz w:val="32"/>
          <w:szCs w:val="32"/>
          <w:lang w:val="en-US" w:eastAsia="zh-CN" w:bidi="ar"/>
        </w:rPr>
        <w:t>本项满分3分，扣1分,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分2</w:t>
      </w:r>
      <w:r>
        <w:rPr>
          <w:rFonts w:hint="eastAsia" w:ascii="仿宋" w:hAnsi="仿宋" w:eastAsia="仿宋" w:cs="仿宋"/>
          <w:sz w:val="32"/>
          <w:szCs w:val="32"/>
          <w:highlight w:val="none"/>
        </w:rPr>
        <w:t>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（2）资产管理安全性</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b w:val="0"/>
          <w:bCs/>
          <w:color w:val="auto"/>
          <w:kern w:val="0"/>
          <w:sz w:val="32"/>
          <w:szCs w:val="32"/>
          <w:highlight w:val="none"/>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b w:val="0"/>
          <w:bCs/>
          <w:color w:val="auto"/>
          <w:kern w:val="0"/>
          <w:sz w:val="32"/>
          <w:szCs w:val="32"/>
          <w:highlight w:val="none"/>
          <w:lang w:val="en-US" w:eastAsia="zh-CN" w:bidi="ar"/>
        </w:rPr>
        <w:t>资产配置合理，不存在超标准配置资产的情况；资产处置规范，不存在不按要求进行报批或资产不公开处置行为；资产账务管理合规，帐实相符；资产使用规范，不存在未经批准擅自出租、出借资产行为。本项满分5分，实际得分5分。</w:t>
      </w:r>
    </w:p>
    <w:p>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（3）固定资产利用率</w:t>
      </w:r>
    </w:p>
    <w:p>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固定资产总额为1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264</w:t>
      </w:r>
      <w:r>
        <w:rPr>
          <w:rFonts w:hint="eastAsia" w:ascii="仿宋" w:hAnsi="仿宋" w:eastAsia="仿宋" w:cs="仿宋"/>
          <w:sz w:val="32"/>
          <w:szCs w:val="32"/>
          <w:highlight w:val="none"/>
          <w:lang w:val="en-US" w:eastAsia="zh-CN"/>
        </w:rPr>
        <w:t>.40万</w:t>
      </w:r>
      <w:r>
        <w:rPr>
          <w:rFonts w:hint="eastAsia" w:ascii="仿宋" w:hAnsi="仿宋" w:eastAsia="仿宋" w:cs="仿宋"/>
          <w:sz w:val="32"/>
          <w:szCs w:val="32"/>
          <w:highlight w:val="none"/>
        </w:rPr>
        <w:t>元，实际在用固定资产总额1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264</w:t>
      </w:r>
      <w:r>
        <w:rPr>
          <w:rFonts w:hint="eastAsia" w:ascii="仿宋" w:hAnsi="仿宋" w:eastAsia="仿宋" w:cs="仿宋"/>
          <w:sz w:val="32"/>
          <w:szCs w:val="32"/>
          <w:highlight w:val="none"/>
          <w:lang w:val="en-US" w:eastAsia="zh-CN"/>
        </w:rPr>
        <w:t>.40万</w:t>
      </w:r>
      <w:r>
        <w:rPr>
          <w:rFonts w:hint="eastAsia" w:ascii="仿宋" w:hAnsi="仿宋" w:eastAsia="仿宋" w:cs="仿宋"/>
          <w:sz w:val="32"/>
          <w:szCs w:val="32"/>
          <w:highlight w:val="none"/>
        </w:rPr>
        <w:t>元，固定资产利用率为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得2分。</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3" w:name="_Toc4825"/>
      <w:r>
        <w:rPr>
          <w:rFonts w:hint="eastAsia" w:ascii="仿宋" w:hAnsi="仿宋" w:eastAsia="仿宋" w:cs="仿宋"/>
          <w:b/>
          <w:bCs/>
          <w:sz w:val="32"/>
          <w:szCs w:val="32"/>
          <w:highlight w:val="none"/>
          <w:lang w:bidi="ar"/>
        </w:rPr>
        <w:t>（三）项目产出情况</w:t>
      </w:r>
      <w:bookmarkEnd w:id="23"/>
    </w:p>
    <w:p>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从部门整体产出情况的职责履行方面情况进行评价，满分为16分，总得分</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分。</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表4-3部门产出情况得分表</w:t>
      </w:r>
    </w:p>
    <w:tbl>
      <w:tblPr>
        <w:tblStyle w:val="11"/>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743"/>
        <w:gridCol w:w="2833"/>
        <w:gridCol w:w="1122"/>
        <w:gridCol w:w="947"/>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743"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833"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产出</w:t>
            </w:r>
          </w:p>
        </w:tc>
        <w:tc>
          <w:tcPr>
            <w:tcW w:w="704"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1743" w:type="dxa"/>
            <w:vMerge w:val="restart"/>
            <w:tcBorders>
              <w:top w:val="dotted" w:color="auto" w:sz="4"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职责履行</w:t>
            </w:r>
          </w:p>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实际完成率</w:t>
            </w:r>
          </w:p>
        </w:tc>
        <w:tc>
          <w:tcPr>
            <w:tcW w:w="1122"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完成及时率</w:t>
            </w:r>
          </w:p>
        </w:tc>
        <w:tc>
          <w:tcPr>
            <w:tcW w:w="1122"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质量达标率</w:t>
            </w:r>
          </w:p>
        </w:tc>
        <w:tc>
          <w:tcPr>
            <w:tcW w:w="1122"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重点工作办结率</w:t>
            </w:r>
          </w:p>
        </w:tc>
        <w:tc>
          <w:tcPr>
            <w:tcW w:w="1122"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trPr>
        <w:tc>
          <w:tcPr>
            <w:tcW w:w="6526" w:type="dxa"/>
            <w:gridSpan w:val="4"/>
            <w:tcBorders>
              <w:top w:val="dotted" w:color="auto" w:sz="4" w:space="0"/>
              <w:left w:val="nil"/>
              <w:bottom w:val="single" w:color="auto" w:sz="8"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16</w:t>
            </w:r>
          </w:p>
        </w:tc>
        <w:tc>
          <w:tcPr>
            <w:tcW w:w="947" w:type="dxa"/>
            <w:tcBorders>
              <w:top w:val="dotted" w:color="auto" w:sz="4" w:space="0"/>
              <w:left w:val="dotted" w:color="auto" w:sz="4" w:space="0"/>
              <w:bottom w:val="single" w:color="auto" w:sz="8" w:space="0"/>
              <w:right w:val="nil"/>
            </w:tcBorders>
            <w:vAlign w:val="center"/>
          </w:tcPr>
          <w:p>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16</w:t>
            </w:r>
          </w:p>
        </w:tc>
      </w:tr>
    </w:tbl>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1.职责履行情况</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（1）实际完成率</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截至2023年12月31日，</w:t>
      </w:r>
      <w:r>
        <w:rPr>
          <w:rFonts w:hint="eastAsia" w:ascii="仿宋" w:hAnsi="仿宋" w:eastAsia="仿宋" w:cs="仿宋"/>
          <w:sz w:val="32"/>
          <w:szCs w:val="32"/>
          <w:highlight w:val="none"/>
        </w:rPr>
        <w:t>实际完成任务数为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（2）完成及时率</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，实际及时完成任务数为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（3）质量达标率</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，实际完成工作数中达到部门绩效目标要求</w:t>
      </w:r>
      <w:r>
        <w:rPr>
          <w:rFonts w:hint="eastAsia" w:ascii="仿宋" w:hAnsi="仿宋" w:eastAsia="仿宋" w:cs="仿宋"/>
          <w:sz w:val="32"/>
          <w:szCs w:val="32"/>
          <w:highlight w:val="none"/>
          <w:lang w:val="en-US" w:eastAsia="zh-CN"/>
        </w:rPr>
        <w:t>质量的</w:t>
      </w:r>
      <w:r>
        <w:rPr>
          <w:rFonts w:hint="eastAsia" w:ascii="仿宋" w:hAnsi="仿宋" w:eastAsia="仿宋" w:cs="仿宋"/>
          <w:sz w:val="32"/>
          <w:szCs w:val="32"/>
          <w:highlight w:val="none"/>
        </w:rPr>
        <w:t>工作任务数为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个，质量达标率</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（4）重点工作办结率</w:t>
      </w:r>
    </w:p>
    <w:p>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val="en-US" w:eastAsia="zh-CN"/>
        </w:rPr>
        <w:t>将</w:t>
      </w:r>
      <w:r>
        <w:rPr>
          <w:rFonts w:hint="eastAsia" w:ascii="仿宋" w:hAnsi="仿宋" w:eastAsia="仿宋" w:cs="仿宋"/>
          <w:sz w:val="32"/>
          <w:szCs w:val="32"/>
          <w:highlight w:val="none"/>
        </w:rPr>
        <w:t>项目支出金额大于</w:t>
      </w:r>
      <w:r>
        <w:rPr>
          <w:rFonts w:hint="eastAsia" w:ascii="仿宋" w:hAnsi="仿宋" w:eastAsia="仿宋" w:cs="仿宋"/>
          <w:sz w:val="32"/>
          <w:szCs w:val="32"/>
          <w:highlight w:val="none"/>
          <w:lang w:val="en-US" w:eastAsia="zh-CN"/>
        </w:rPr>
        <w:t>2.00</w:t>
      </w:r>
      <w:r>
        <w:rPr>
          <w:rFonts w:hint="eastAsia" w:ascii="仿宋" w:hAnsi="仿宋" w:eastAsia="仿宋" w:cs="仿宋"/>
          <w:sz w:val="32"/>
          <w:szCs w:val="32"/>
          <w:highlight w:val="none"/>
        </w:rPr>
        <w:t>万元的列为</w:t>
      </w:r>
      <w:r>
        <w:rPr>
          <w:rFonts w:hint="eastAsia" w:ascii="仿宋" w:hAnsi="仿宋" w:eastAsia="仿宋" w:cs="仿宋"/>
          <w:sz w:val="32"/>
          <w:szCs w:val="32"/>
          <w:highlight w:val="none"/>
          <w:lang w:val="en-US"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截至2023年</w:t>
      </w:r>
      <w:r>
        <w:rPr>
          <w:rFonts w:hint="eastAsia" w:ascii="仿宋" w:hAnsi="仿宋" w:eastAsia="仿宋" w:cs="仿宋"/>
          <w:sz w:val="32"/>
          <w:szCs w:val="32"/>
          <w:highlight w:val="none"/>
          <w:lang w:val="en-US" w:eastAsia="zh-CN"/>
        </w:rPr>
        <w:t>12月31日，6个重点项目均已完成</w:t>
      </w:r>
      <w:r>
        <w:rPr>
          <w:rFonts w:hint="eastAsia" w:ascii="仿宋" w:hAnsi="仿宋" w:eastAsia="仿宋" w:cs="仿宋"/>
          <w:sz w:val="32"/>
          <w:szCs w:val="32"/>
          <w:highlight w:val="none"/>
        </w:rPr>
        <w:t>。重点工作办结率为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项满分4</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w:t>
      </w:r>
      <w:r>
        <w:rPr>
          <w:rFonts w:hint="eastAsia" w:ascii="仿宋" w:hAnsi="仿宋" w:eastAsia="仿宋" w:cs="仿宋"/>
          <w:sz w:val="32"/>
          <w:szCs w:val="32"/>
          <w:highlight w:val="none"/>
        </w:rPr>
        <w:t>4分。</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4" w:name="_Toc4762"/>
      <w:r>
        <w:rPr>
          <w:rFonts w:hint="eastAsia" w:ascii="仿宋" w:hAnsi="仿宋" w:eastAsia="仿宋" w:cs="仿宋"/>
          <w:b/>
          <w:bCs/>
          <w:sz w:val="32"/>
          <w:szCs w:val="32"/>
          <w:highlight w:val="none"/>
          <w:lang w:bidi="ar"/>
        </w:rPr>
        <w:t>（四）部门效益情况</w:t>
      </w:r>
      <w:bookmarkEnd w:id="24"/>
    </w:p>
    <w:p>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从部门整体效果情况的履职效益方面情况进行评价，满分为20分，总得分</w:t>
      </w:r>
      <w:r>
        <w:rPr>
          <w:rFonts w:hint="eastAsia" w:ascii="仿宋" w:hAnsi="仿宋" w:eastAsia="仿宋" w:cs="仿宋"/>
          <w:sz w:val="32"/>
          <w:szCs w:val="32"/>
          <w:highlight w:val="none"/>
          <w:lang w:val="en-US" w:eastAsia="zh-CN"/>
        </w:rPr>
        <w:t>17.47</w:t>
      </w:r>
      <w:r>
        <w:rPr>
          <w:rFonts w:hint="eastAsia" w:ascii="仿宋" w:hAnsi="仿宋" w:eastAsia="仿宋" w:cs="仿宋"/>
          <w:sz w:val="32"/>
          <w:szCs w:val="32"/>
          <w:highlight w:val="none"/>
        </w:rPr>
        <w:t>分。</w:t>
      </w:r>
    </w:p>
    <w:p>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表4-4部门效果情况得分表</w:t>
      </w:r>
    </w:p>
    <w:tbl>
      <w:tblPr>
        <w:tblStyle w:val="11"/>
        <w:tblW w:w="8595" w:type="dxa"/>
        <w:jc w:val="center"/>
        <w:tblInd w:w="0"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478"/>
        <w:gridCol w:w="3098"/>
        <w:gridCol w:w="1122"/>
        <w:gridCol w:w="947"/>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tcBorders>
              <w:top w:val="single" w:color="auto" w:sz="8" w:space="0"/>
              <w:left w:val="nil"/>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478"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098"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right w:val="dotted" w:color="auto" w:sz="4" w:space="0"/>
            </w:tcBorders>
            <w:vAlign w:val="center"/>
          </w:tcPr>
          <w:p>
            <w:pPr>
              <w:rPr>
                <w:rFonts w:hint="eastAsia" w:ascii="仿宋" w:hAnsi="仿宋" w:eastAsia="仿宋" w:cs="仿宋"/>
                <w:sz w:val="24"/>
                <w:szCs w:val="24"/>
                <w:highlight w:val="none"/>
              </w:rPr>
            </w:pPr>
          </w:p>
        </w:tc>
        <w:tc>
          <w:tcPr>
            <w:tcW w:w="704" w:type="dxa"/>
            <w:vMerge w:val="restart"/>
            <w:tcBorders>
              <w:top w:val="dotted" w:color="auto" w:sz="4" w:space="0"/>
              <w:left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478" w:type="dxa"/>
            <w:vMerge w:val="restart"/>
            <w:tcBorders>
              <w:top w:val="dotted" w:color="auto" w:sz="4" w:space="0"/>
              <w:left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社会效益</w:t>
            </w:r>
          </w:p>
        </w:tc>
        <w:tc>
          <w:tcPr>
            <w:tcW w:w="1122"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947"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eastAsia="zh-CN" w:bidi="ar"/>
              </w:rPr>
              <w:t>可持续影响</w:t>
            </w:r>
          </w:p>
        </w:tc>
        <w:tc>
          <w:tcPr>
            <w:tcW w:w="1122"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947"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vAlign w:val="center"/>
          </w:tcPr>
          <w:p>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社会公众或服务对象满意度</w:t>
            </w:r>
          </w:p>
        </w:tc>
        <w:tc>
          <w:tcPr>
            <w:tcW w:w="1122" w:type="dxa"/>
            <w:tcBorders>
              <w:top w:val="dotted" w:color="auto" w:sz="4" w:space="0"/>
              <w:left w:val="dotted" w:color="auto" w:sz="4" w:space="0"/>
              <w:bottom w:val="dotted" w:color="auto" w:sz="4" w:space="0"/>
              <w:right w:val="dotted" w:color="auto" w:sz="4" w:space="0"/>
            </w:tcBorders>
            <w:vAlign w:val="center"/>
          </w:tcPr>
          <w:p>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947" w:type="dxa"/>
            <w:tcBorders>
              <w:top w:val="dotted" w:color="auto" w:sz="4" w:space="0"/>
              <w:left w:val="dotted" w:color="auto" w:sz="4" w:space="0"/>
              <w:bottom w:val="dotted" w:color="auto" w:sz="4" w:space="0"/>
              <w:right w:val="nil"/>
            </w:tcBorders>
            <w:vAlign w:val="center"/>
          </w:tcPr>
          <w:p>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4.47</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Ex>
        <w:trPr>
          <w:trHeight w:val="386" w:hRule="atLeast"/>
          <w:jc w:val="center"/>
        </w:trPr>
        <w:tc>
          <w:tcPr>
            <w:tcW w:w="6526" w:type="dxa"/>
            <w:gridSpan w:val="4"/>
            <w:tcBorders>
              <w:top w:val="dotted" w:color="auto" w:sz="4" w:space="0"/>
              <w:left w:val="nil"/>
              <w:bottom w:val="single" w:color="auto" w:sz="8"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vAlign w:val="center"/>
          </w:tcPr>
          <w:p>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20</w:t>
            </w:r>
          </w:p>
        </w:tc>
        <w:tc>
          <w:tcPr>
            <w:tcW w:w="947" w:type="dxa"/>
            <w:tcBorders>
              <w:top w:val="dotted" w:color="auto" w:sz="4" w:space="0"/>
              <w:left w:val="dotted" w:color="auto" w:sz="4" w:space="0"/>
              <w:bottom w:val="single" w:color="auto" w:sz="8" w:space="0"/>
              <w:right w:val="nil"/>
            </w:tcBorders>
            <w:vAlign w:val="center"/>
          </w:tcPr>
          <w:p>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17.47</w:t>
            </w:r>
          </w:p>
        </w:tc>
      </w:tr>
    </w:tbl>
    <w:p>
      <w:pPr>
        <w:pStyle w:val="9"/>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）社会效益</w:t>
      </w:r>
    </w:p>
    <w:p>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2023年</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bidi="ar"/>
        </w:rPr>
        <w:t>履行部门相关职责，</w:t>
      </w:r>
      <w:r>
        <w:rPr>
          <w:rFonts w:hint="eastAsia" w:ascii="仿宋" w:hAnsi="仿宋" w:eastAsia="仿宋" w:cs="仿宋"/>
          <w:sz w:val="32"/>
          <w:szCs w:val="32"/>
          <w:highlight w:val="none"/>
          <w:lang w:eastAsia="zh-CN" w:bidi="ar"/>
        </w:rPr>
        <w:t>2023年</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val="en-US" w:eastAsia="zh-CN" w:bidi="ar"/>
        </w:rPr>
        <w:t>全年共选聘培训地震宏观前兆观测员及速报员223人，主要负责地震宏观前兆观测、宣传防震减灾知识、震情速报、组织演练和现场联络救灾等工作，有效发挥了防震减灾群测群防力量，为全市防震减灾工作迈上新台阶奠定了坚实的群众基础。5月林芝市地震局实验广东实验小学部分师生到林芝地震科普馆进行参观体验活动。此次活动共有100余名师生参加，通过参观体验，师生们进一步了解了防震减灾的科普知识，懂得了基本的逃生自救技巧，学会了正确自助自救、互助互救，有效地提高了广大师生防范自然灾害的意识和能力。林芝市地震局联合林芝地震监测中心站在“5.12”防灾减灾日期间前往米林市派镇小学林芝市第二幼儿园开展了防震知识科普宣讲活动工作人员对全园教师和幼儿进行防震知识科普讲座。此次防震减灾科普知识讲座活动覆盖全园1100人，大大增强了小学生及幼儿的自我保护意识，提高幼儿自护自救能力，让孩子对防震减灾安全知识有了概念性的了解，率先迈出了防震减灾知识从幼儿抓起的第一步。活动期间还组织专门人员前往米林县派镇中心小学等学校开展防震减灾科普知识讲座暨地震应急避险疏散实战演练活动，工作人员紧密结合学生接收能力不同的特点，紧紧围绕防灾减灾的重要意义、地震常识、地震灾害、地震预报、防震避险等知识进行讲解，用通俗易懂的语言为学生们讲解了地震的成因和震情形式，重点普及了学校避险、家庭避险、户外避险等有效的避震方法。</w:t>
      </w:r>
      <w:r>
        <w:rPr>
          <w:rFonts w:hint="eastAsia" w:ascii="仿宋" w:hAnsi="仿宋" w:eastAsia="仿宋" w:cs="仿宋"/>
          <w:color w:val="000000"/>
          <w:sz w:val="32"/>
          <w:szCs w:val="32"/>
          <w:highlight w:val="none"/>
          <w:shd w:val="clear" w:color="auto" w:fill="auto"/>
          <w:lang w:val="en-US" w:eastAsia="zh-CN" w:bidi="ar"/>
        </w:rPr>
        <w:t>社会效益显著。本项</w:t>
      </w:r>
      <w:r>
        <w:rPr>
          <w:rFonts w:hint="eastAsia" w:ascii="仿宋" w:hAnsi="仿宋" w:eastAsia="仿宋" w:cs="仿宋"/>
          <w:sz w:val="32"/>
          <w:szCs w:val="32"/>
          <w:highlight w:val="none"/>
          <w:lang w:val="en-US" w:eastAsia="zh-CN" w:bidi="ar"/>
        </w:rPr>
        <w:t>满分8分，实际得分8分。</w:t>
      </w:r>
    </w:p>
    <w:p>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）可持续影响或生态效益</w:t>
      </w:r>
    </w:p>
    <w:p>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eastAsia="zh-CN" w:bidi="ar"/>
        </w:rPr>
        <w:t>2023年</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val="en-US" w:eastAsia="zh-CN" w:bidi="ar"/>
        </w:rPr>
        <w:t>今年6月，林芝市地震局在自治区地震局的统一安排和部署下，前往我市地震危险区域开展地震灾害防范应对准备工作督导检查。深入下察隅镇沙玛村和仲萨村详细了解边境小康村和整村搬迁民居房屋抗震性能的现状，同时对下察隅镇的救灾物资储备和应急救援队伍等方面的应急准备等情况进行了摸排和指导。各级抗震救灾应急指挥部要履职尽责，继续落实好抗震救灾应急指挥部会议制度，完善协调联动机制。指挥部各成员单位要在本级人民政府的领导下，按照职责分工共同做好抗震救灾工作。市、县有关部门要认真按照《西藏自治区应急总体预案》，加快修订完善本地区、本部门地震应急专项预案，强化部门之间、军地之间的信息沟通与应急联动。今年完成墨脱、米林、察隅三个自治区地震观测站点的选址工作，协助YX电站完成33个地震观测站的选址和建设工作。2023年7月28日至9月10日，我市波密县先后发生3.0级以上地震11次，最大震级为4.3级。根据自治区抗震救灾指挥部办公室《关于加强2023年下半年重特大地震灾害防范应对工作的通知》要求，结合2020年7-8月该区域连续发生28次3.0级以上地震背景，林芝市地震部门多措并举，未雨绸缪，确保人民群众生命财产安全。经核实统计，易贡乡现有户数781户2797人（含茶厂370户1200人）；大型运输车辆127辆，挖掘机45台，装载机30台；现有各类帐篷301顶、毛毯485床、棉被（褥）860床、急救包188包以及其他救援物资基本满足应急需要。针对震后可能发生的道路交通中断等情况，为做好第一时间的救援工作，规划了林芝至波密县易贡乡的空中航线，并在易贡茶厂、易贡乡贡仲村设立3个临时起降点，现已完成试飞试降任务。</w:t>
      </w:r>
      <w:r>
        <w:rPr>
          <w:rFonts w:hint="eastAsia" w:ascii="仿宋" w:hAnsi="仿宋" w:eastAsia="仿宋" w:cs="仿宋"/>
          <w:sz w:val="32"/>
          <w:szCs w:val="32"/>
          <w:highlight w:val="none"/>
          <w:lang w:eastAsia="zh-CN" w:bidi="ar"/>
        </w:rPr>
        <w:t>可持续影响</w:t>
      </w:r>
      <w:r>
        <w:rPr>
          <w:rFonts w:hint="eastAsia" w:ascii="仿宋" w:hAnsi="仿宋" w:eastAsia="仿宋" w:cs="仿宋"/>
          <w:sz w:val="32"/>
          <w:szCs w:val="32"/>
          <w:highlight w:val="none"/>
          <w:lang w:val="en-US" w:eastAsia="zh-CN" w:bidi="ar"/>
        </w:rPr>
        <w:t>显著，本项满分7分，实际得分7分。</w:t>
      </w:r>
    </w:p>
    <w:p>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（3）社会公众或服务对象满意度</w:t>
      </w:r>
    </w:p>
    <w:p>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经统计，2023年</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val="en-US" w:eastAsia="zh-CN" w:bidi="ar"/>
        </w:rPr>
        <w:t>社会满意度调查问卷显示满意度为89.44%。满分5分，扣0.53分，实际得分4.47分。</w:t>
      </w:r>
    </w:p>
    <w:p>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color w:val="000000"/>
          <w:kern w:val="0"/>
          <w:sz w:val="32"/>
          <w:szCs w:val="32"/>
          <w:highlight w:val="none"/>
          <w:lang w:val="en-US" w:eastAsia="zh-CN" w:bidi="ar"/>
        </w:rPr>
      </w:pPr>
      <w:bookmarkStart w:id="25" w:name="_Toc28236"/>
      <w:r>
        <w:rPr>
          <w:rFonts w:hint="eastAsia" w:ascii="仿宋" w:hAnsi="仿宋" w:eastAsia="仿宋" w:cs="仿宋"/>
          <w:b/>
          <w:sz w:val="32"/>
          <w:szCs w:val="32"/>
          <w:highlight w:val="none"/>
        </w:rPr>
        <w:t>主要问题分析</w:t>
      </w:r>
      <w:bookmarkEnd w:id="25"/>
    </w:p>
    <w:p>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6" w:name="_Toc1488"/>
      <w:bookmarkStart w:id="27" w:name="_Toc4745"/>
      <w:r>
        <w:rPr>
          <w:rFonts w:hint="eastAsia" w:ascii="仿宋" w:hAnsi="仿宋" w:eastAsia="仿宋" w:cs="仿宋"/>
          <w:color w:val="000000"/>
          <w:kern w:val="0"/>
          <w:sz w:val="32"/>
          <w:szCs w:val="32"/>
          <w:highlight w:val="none"/>
          <w:lang w:val="en-US" w:eastAsia="zh-CN" w:bidi="ar"/>
        </w:rPr>
        <w:t>（一）</w:t>
      </w:r>
      <w:bookmarkEnd w:id="26"/>
      <w:r>
        <w:rPr>
          <w:rFonts w:hint="eastAsia" w:ascii="仿宋" w:hAnsi="仿宋" w:eastAsia="仿宋" w:cs="仿宋"/>
          <w:color w:val="000000"/>
          <w:kern w:val="0"/>
          <w:sz w:val="32"/>
          <w:szCs w:val="32"/>
          <w:highlight w:val="none"/>
          <w:lang w:val="en-US" w:eastAsia="zh-CN" w:bidi="ar"/>
        </w:rPr>
        <w:t>人员编制方面</w:t>
      </w:r>
      <w:bookmarkEnd w:id="27"/>
    </w:p>
    <w:p>
      <w:pPr>
        <w:keepNext w:val="0"/>
        <w:keepLines w:val="0"/>
        <w:pageBreakBefore w:val="0"/>
        <w:widowControl/>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color w:val="000000"/>
          <w:kern w:val="0"/>
          <w:sz w:val="32"/>
          <w:szCs w:val="32"/>
          <w:highlight w:val="yellow"/>
          <w:lang w:val="en-US" w:eastAsia="zh-CN" w:bidi="ar"/>
        </w:rPr>
      </w:pPr>
      <w:r>
        <w:rPr>
          <w:rFonts w:hint="eastAsia" w:ascii="仿宋" w:hAnsi="仿宋" w:eastAsia="仿宋" w:cs="仿宋"/>
          <w:color w:val="000000"/>
          <w:kern w:val="2"/>
          <w:sz w:val="32"/>
          <w:szCs w:val="32"/>
          <w:highlight w:val="none"/>
          <w:lang w:val="en-US" w:eastAsia="zh-CN" w:bidi="ar-SA"/>
        </w:rPr>
        <w:t>根据“三定方案”，</w:t>
      </w:r>
      <w:r>
        <w:rPr>
          <w:rFonts w:hint="eastAsia" w:ascii="仿宋" w:hAnsi="仿宋" w:eastAsia="仿宋" w:cs="仿宋"/>
          <w:kern w:val="2"/>
          <w:sz w:val="32"/>
          <w:szCs w:val="32"/>
          <w:lang w:val="en-US" w:eastAsia="zh-CN" w:bidi="ar"/>
        </w:rPr>
        <w:t>市地震局</w:t>
      </w:r>
      <w:r>
        <w:rPr>
          <w:rFonts w:hint="eastAsia" w:ascii="仿宋" w:hAnsi="仿宋" w:eastAsia="仿宋" w:cs="仿宋"/>
          <w:color w:val="000000"/>
          <w:kern w:val="2"/>
          <w:sz w:val="32"/>
          <w:szCs w:val="32"/>
          <w:highlight w:val="none"/>
          <w:lang w:val="en-US" w:eastAsia="zh-CN" w:bidi="ar-SA"/>
        </w:rPr>
        <w:t>人员</w:t>
      </w:r>
      <w:r>
        <w:rPr>
          <w:rFonts w:hint="eastAsia" w:ascii="仿宋" w:hAnsi="仿宋" w:eastAsia="仿宋" w:cs="仿宋"/>
          <w:color w:val="000000"/>
          <w:kern w:val="0"/>
          <w:sz w:val="32"/>
          <w:szCs w:val="32"/>
          <w:highlight w:val="none"/>
          <w:lang w:val="en-US" w:eastAsia="zh-CN" w:bidi="ar"/>
        </w:rPr>
        <w:t>编制人数共计10名，</w:t>
      </w:r>
      <w:r>
        <w:rPr>
          <w:rFonts w:hint="eastAsia" w:ascii="仿宋" w:hAnsi="仿宋" w:eastAsia="仿宋" w:cs="仿宋"/>
          <w:b w:val="0"/>
          <w:bCs w:val="0"/>
          <w:i w:val="0"/>
          <w:iCs w:val="0"/>
          <w:caps w:val="0"/>
          <w:color w:val="000000"/>
          <w:spacing w:val="0"/>
          <w:kern w:val="0"/>
          <w:sz w:val="32"/>
          <w:szCs w:val="32"/>
          <w:highlight w:val="none"/>
          <w:lang w:val="en-US" w:eastAsia="zh-CN"/>
        </w:rPr>
        <w:t>2023年末在职职工人数共计8人</w:t>
      </w:r>
      <w:r>
        <w:rPr>
          <w:rFonts w:hint="eastAsia" w:ascii="仿宋" w:hAnsi="仿宋" w:eastAsia="仿宋" w:cs="仿宋"/>
          <w:b w:val="0"/>
          <w:bCs w:val="0"/>
          <w:i w:val="0"/>
          <w:iCs w:val="0"/>
          <w:caps w:val="0"/>
          <w:color w:val="000000"/>
          <w:spacing w:val="0"/>
          <w:kern w:val="0"/>
          <w:sz w:val="32"/>
          <w:szCs w:val="32"/>
          <w:lang w:val="en-US" w:eastAsia="zh-CN"/>
        </w:rPr>
        <w:t>。</w:t>
      </w:r>
      <w:r>
        <w:rPr>
          <w:rFonts w:hint="eastAsia" w:ascii="仿宋" w:hAnsi="仿宋" w:eastAsia="仿宋" w:cs="仿宋"/>
          <w:color w:val="000000"/>
          <w:kern w:val="2"/>
          <w:sz w:val="32"/>
          <w:szCs w:val="32"/>
          <w:highlight w:val="none"/>
          <w:lang w:val="en-US" w:eastAsia="zh-CN" w:bidi="ar-SA"/>
        </w:rPr>
        <w:t>编制</w:t>
      </w:r>
      <w:r>
        <w:rPr>
          <w:rFonts w:hint="eastAsia" w:ascii="仿宋" w:hAnsi="仿宋" w:eastAsia="仿宋" w:cs="仿宋"/>
          <w:color w:val="000000"/>
          <w:kern w:val="2"/>
          <w:sz w:val="32"/>
          <w:szCs w:val="32"/>
          <w:highlight w:val="none"/>
          <w:lang w:val="en-US" w:eastAsia="zh" w:bidi="ar-SA"/>
        </w:rPr>
        <w:t>存在</w:t>
      </w:r>
      <w:r>
        <w:rPr>
          <w:rFonts w:hint="eastAsia" w:ascii="仿宋" w:hAnsi="仿宋" w:eastAsia="仿宋" w:cs="仿宋"/>
          <w:color w:val="000000"/>
          <w:kern w:val="2"/>
          <w:sz w:val="32"/>
          <w:szCs w:val="32"/>
          <w:highlight w:val="none"/>
          <w:lang w:val="en-US" w:eastAsia="zh-CN" w:bidi="ar-SA"/>
        </w:rPr>
        <w:t>空编</w:t>
      </w:r>
      <w:r>
        <w:rPr>
          <w:rFonts w:hint="eastAsia" w:ascii="仿宋" w:hAnsi="仿宋" w:eastAsia="仿宋" w:cs="仿宋"/>
          <w:color w:val="000000"/>
          <w:kern w:val="2"/>
          <w:sz w:val="32"/>
          <w:szCs w:val="32"/>
          <w:highlight w:val="none"/>
          <w:lang w:val="en-US" w:eastAsia="zh" w:bidi="ar-SA"/>
        </w:rPr>
        <w:t>现象。</w:t>
      </w:r>
    </w:p>
    <w:p>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8" w:name="_Toc26441"/>
      <w:r>
        <w:rPr>
          <w:rFonts w:hint="eastAsia" w:ascii="仿宋" w:hAnsi="仿宋" w:eastAsia="仿宋" w:cs="仿宋"/>
          <w:color w:val="000000"/>
          <w:kern w:val="0"/>
          <w:sz w:val="32"/>
          <w:szCs w:val="32"/>
          <w:highlight w:val="none"/>
          <w:lang w:val="en-US" w:eastAsia="zh-CN" w:bidi="ar"/>
        </w:rPr>
        <w:t>（二）固定资产管理方面</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经盘点，固定资产管理制度中盘点相关制度要求未能得到有效执行、未履行盘点职责。</w:t>
      </w:r>
    </w:p>
    <w:p>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sz w:val="32"/>
          <w:szCs w:val="32"/>
          <w:highlight w:val="none"/>
        </w:rPr>
      </w:pPr>
      <w:bookmarkStart w:id="29" w:name="_Toc11859"/>
      <w:r>
        <w:rPr>
          <w:rFonts w:hint="eastAsia" w:ascii="仿宋" w:hAnsi="仿宋" w:eastAsia="仿宋" w:cs="仿宋"/>
          <w:b/>
          <w:sz w:val="32"/>
          <w:szCs w:val="32"/>
          <w:highlight w:val="none"/>
        </w:rPr>
        <w:t>相关建议</w:t>
      </w:r>
      <w:bookmarkEnd w:id="29"/>
    </w:p>
    <w:p>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0" w:name="_Toc11328"/>
      <w:r>
        <w:rPr>
          <w:rFonts w:hint="eastAsia" w:ascii="仿宋" w:hAnsi="仿宋" w:eastAsia="仿宋" w:cs="仿宋"/>
          <w:sz w:val="32"/>
          <w:szCs w:val="32"/>
          <w:highlight w:val="none"/>
          <w:lang w:val="en-US" w:eastAsia="zh-CN" w:bidi="ar"/>
        </w:rPr>
        <w:t>人员编制方面</w:t>
      </w:r>
      <w:bookmarkEnd w:id="30"/>
    </w:p>
    <w:p>
      <w:pPr>
        <w:widowControl/>
        <w:numPr>
          <w:ilvl w:val="0"/>
          <w:numId w:val="0"/>
        </w:numPr>
        <w:spacing w:line="360" w:lineRule="auto"/>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严格实行编内进人。机关事业单位补充人员必须在编制限额内申报用人计划，严格控制超编进人，实行编制动态调整机制。</w:t>
      </w:r>
    </w:p>
    <w:p>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1" w:name="_Toc4229"/>
      <w:r>
        <w:rPr>
          <w:rFonts w:hint="eastAsia" w:ascii="仿宋" w:hAnsi="仿宋" w:eastAsia="仿宋" w:cs="仿宋"/>
          <w:sz w:val="32"/>
          <w:szCs w:val="32"/>
          <w:highlight w:val="none"/>
          <w:lang w:val="en-US" w:eastAsia="zh-CN" w:bidi="ar"/>
        </w:rPr>
        <w:t>固定资产管理方面</w:t>
      </w:r>
      <w:bookmarkEnd w:id="31"/>
    </w:p>
    <w:p>
      <w:pPr>
        <w:pStyle w:val="9"/>
        <w:keepNext w:val="0"/>
        <w:keepLines w:val="0"/>
        <w:pageBreakBefore w:val="0"/>
        <w:numPr>
          <w:ilvl w:val="0"/>
          <w:numId w:val="0"/>
        </w:numPr>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严格按照固定资产管理制度中对于盘点的要求执行，落实固定资产的盘点制度，对资产使用状况及时更新。</w:t>
      </w:r>
    </w:p>
    <w:p>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bookmarkStart w:id="32" w:name="_Toc1027"/>
      <w:r>
        <w:rPr>
          <w:rFonts w:hint="eastAsia" w:ascii="仿宋" w:hAnsi="仿宋" w:eastAsia="仿宋" w:cs="仿宋"/>
          <w:b/>
          <w:bCs/>
          <w:sz w:val="32"/>
          <w:szCs w:val="32"/>
          <w:highlight w:val="none"/>
          <w:lang w:val="en-US" w:eastAsia="zh-CN"/>
        </w:rPr>
        <w:t>其他需要说明的问题</w:t>
      </w:r>
      <w:bookmarkEnd w:id="32"/>
    </w:p>
    <w:p>
      <w:pPr>
        <w:pStyle w:val="9"/>
        <w:numPr>
          <w:ilvl w:val="0"/>
          <w:numId w:val="4"/>
        </w:numPr>
        <w:autoSpaceDE w:val="0"/>
        <w:spacing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关于评价结果的说明</w:t>
      </w:r>
    </w:p>
    <w:p>
      <w:pPr>
        <w:pStyle w:val="9"/>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部门评价的结果受限于提供资料的全面性和准确性，评价小组仅能依据提供的现有的资料，结合职业判断给出评价的结果。绩效评价指标体系中部分指标评价采用抽样核查的结果，评价结果与实际可能存在偏差。</w:t>
      </w:r>
    </w:p>
    <w:p>
      <w:pPr>
        <w:pStyle w:val="9"/>
        <w:numPr>
          <w:ilvl w:val="0"/>
          <w:numId w:val="4"/>
        </w:numPr>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关于报告使用的说明</w:t>
      </w:r>
    </w:p>
    <w:p>
      <w:pPr>
        <w:pStyle w:val="9"/>
        <w:autoSpaceDE/>
        <w:spacing w:before="165" w:beforeLines="50" w:beforeAutospacing="0" w:after="165" w:afterLines="50" w:afterAutospacing="0" w:line="360" w:lineRule="auto"/>
        <w:ind w:firstLine="640" w:firstLineChars="200"/>
        <w:rPr>
          <w:rFonts w:hint="eastAsia" w:ascii="仿宋" w:hAnsi="仿宋" w:eastAsia="仿宋" w:cs="仿宋"/>
          <w:b/>
          <w:bCs/>
          <w:sz w:val="32"/>
          <w:szCs w:val="32"/>
          <w:highlight w:val="none"/>
          <w:lang w:bidi="ar"/>
        </w:rPr>
      </w:pPr>
      <w:r>
        <w:rPr>
          <w:rFonts w:hint="eastAsia" w:ascii="仿宋" w:hAnsi="仿宋" w:eastAsia="仿宋" w:cs="仿宋"/>
          <w:b w:val="0"/>
          <w:bCs w:val="0"/>
          <w:sz w:val="32"/>
          <w:szCs w:val="32"/>
          <w:highlight w:val="none"/>
          <w:lang w:val="en-US" w:eastAsia="zh-CN" w:bidi="ar"/>
        </w:rPr>
        <w:t>本报告仅供林芝市财政局了解林芝</w:t>
      </w:r>
      <w:r>
        <w:rPr>
          <w:rFonts w:hint="eastAsia" w:ascii="仿宋" w:hAnsi="仿宋" w:eastAsia="仿宋" w:cs="仿宋"/>
          <w:kern w:val="2"/>
          <w:sz w:val="32"/>
          <w:szCs w:val="32"/>
          <w:lang w:val="en-US" w:eastAsia="zh-CN" w:bidi="ar"/>
        </w:rPr>
        <w:t>市地震局</w:t>
      </w:r>
      <w:r>
        <w:rPr>
          <w:rFonts w:hint="eastAsia" w:ascii="仿宋" w:hAnsi="仿宋" w:eastAsia="仿宋" w:cs="仿宋"/>
          <w:b w:val="0"/>
          <w:bCs w:val="0"/>
          <w:sz w:val="32"/>
          <w:szCs w:val="32"/>
          <w:highlight w:val="none"/>
          <w:lang w:val="en-US" w:eastAsia="zh-CN" w:bidi="ar"/>
        </w:rPr>
        <w:t>2023年度部门整体支出的绩效情况，不作其它用途。由于使用不当而造成的后果于本会计师事务所无关。</w:t>
      </w:r>
    </w:p>
    <w:p>
      <w:pPr>
        <w:pStyle w:val="9"/>
        <w:autoSpaceDE w:val="0"/>
        <w:spacing w:line="360" w:lineRule="auto"/>
        <w:ind w:firstLine="643" w:firstLineChars="200"/>
        <w:outlineLvl w:val="0"/>
        <w:rPr>
          <w:rFonts w:hint="eastAsia" w:ascii="仿宋" w:hAnsi="仿宋" w:eastAsia="仿宋" w:cs="仿宋"/>
          <w:color w:val="000000"/>
          <w:sz w:val="32"/>
          <w:szCs w:val="32"/>
          <w:highlight w:val="none"/>
        </w:rPr>
      </w:pPr>
      <w:bookmarkStart w:id="33" w:name="_Toc22869"/>
      <w:r>
        <w:rPr>
          <w:rFonts w:hint="eastAsia" w:ascii="仿宋" w:hAnsi="仿宋" w:eastAsia="仿宋" w:cs="仿宋"/>
          <w:b/>
          <w:bCs/>
          <w:sz w:val="32"/>
          <w:szCs w:val="32"/>
          <w:highlight w:val="none"/>
          <w:lang w:bidi="ar"/>
        </w:rPr>
        <w:t>附件：</w:t>
      </w:r>
      <w:r>
        <w:rPr>
          <w:rFonts w:hint="eastAsia" w:ascii="仿宋" w:hAnsi="仿宋" w:eastAsia="仿宋" w:cs="仿宋"/>
          <w:b/>
          <w:bCs/>
          <w:kern w:val="2"/>
          <w:sz w:val="32"/>
          <w:szCs w:val="32"/>
          <w:highlight w:val="none"/>
          <w:lang w:bidi="ar"/>
        </w:rPr>
        <w:t>绩效评价指标体系框架打分表</w:t>
      </w:r>
      <w:bookmarkEnd w:id="33"/>
    </w:p>
    <w:p>
      <w:pPr>
        <w:tabs>
          <w:tab w:val="left" w:pos="5580"/>
          <w:tab w:val="left" w:pos="5760"/>
          <w:tab w:val="left" w:pos="5940"/>
        </w:tabs>
        <w:spacing w:line="360" w:lineRule="auto"/>
        <w:ind w:firstLine="1920" w:firstLineChars="6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陕西丰汇韵嘉会计师事务所合伙企业（普通合伙）                           </w:t>
      </w:r>
    </w:p>
    <w:p>
      <w:pPr>
        <w:tabs>
          <w:tab w:val="left" w:pos="5580"/>
          <w:tab w:val="left" w:pos="5760"/>
          <w:tab w:val="left" w:pos="5940"/>
        </w:tabs>
        <w:spacing w:line="360" w:lineRule="auto"/>
        <w:rPr>
          <w:rFonts w:hint="eastAsia" w:ascii="仿宋" w:hAnsi="仿宋" w:eastAsia="仿宋" w:cs="仿宋"/>
          <w:color w:val="000000"/>
          <w:sz w:val="32"/>
          <w:szCs w:val="32"/>
          <w:highlight w:val="none"/>
        </w:rPr>
      </w:pPr>
    </w:p>
    <w:p>
      <w:pPr>
        <w:pStyle w:val="5"/>
        <w:tabs>
          <w:tab w:val="left" w:pos="3460"/>
          <w:tab w:val="center" w:pos="4590"/>
        </w:tabs>
        <w:spacing w:line="360" w:lineRule="auto"/>
        <w:rPr>
          <w:rFonts w:hint="eastAsia" w:ascii="仿宋" w:hAnsi="仿宋" w:eastAsia="仿宋" w:cs="仿宋"/>
          <w:color w:val="000000"/>
          <w:sz w:val="32"/>
          <w:szCs w:val="32"/>
          <w:highlight w:val="none"/>
        </w:rPr>
      </w:pPr>
    </w:p>
    <w:p>
      <w:pPr>
        <w:spacing w:line="360" w:lineRule="auto"/>
        <w:ind w:right="480" w:firstLine="800" w:firstLineChars="25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二○二四年</w:t>
      </w:r>
      <w:r>
        <w:rPr>
          <w:rFonts w:hint="eastAsia" w:ascii="仿宋" w:hAnsi="仿宋" w:eastAsia="仿宋" w:cs="仿宋"/>
          <w:color w:val="000000"/>
          <w:sz w:val="32"/>
          <w:szCs w:val="32"/>
          <w:highlight w:val="none"/>
          <w:lang w:val="en-US" w:eastAsia="zh-CN"/>
        </w:rPr>
        <w:t>七</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二十六</w:t>
      </w:r>
      <w:r>
        <w:rPr>
          <w:rFonts w:hint="eastAsia" w:ascii="仿宋" w:hAnsi="仿宋" w:eastAsia="仿宋" w:cs="仿宋"/>
          <w:color w:val="000000"/>
          <w:sz w:val="32"/>
          <w:szCs w:val="32"/>
          <w:highlight w:val="none"/>
        </w:rPr>
        <w:t>日</w:t>
      </w:r>
    </w:p>
    <w:sectPr>
      <w:footerReference r:id="rId5"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-238760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等线" w:hAnsi="等线" w:eastAsia="等线"/>
                              <w:b/>
                              <w:sz w:val="24"/>
                            </w:rPr>
                          </w:pPr>
                        </w:p>
                        <w:p>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pPr>
                            <w:pStyle w:val="5"/>
                            <w:jc w:val="center"/>
                            <w:rPr>
                              <w:rFonts w:hint="eastAsia"/>
                            </w:rPr>
                          </w:pPr>
                          <w:r>
                            <w:rPr>
                              <w:rFonts w:hint="eastAsia"/>
                            </w:rPr>
                            <w:t xml:space="preserve">    </w:t>
                          </w:r>
                        </w:p>
                        <w:p>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8pt;height:144pt;width:144pt;mso-position-horizontal:center;mso-position-horizontal-relative:margin;mso-wrap-style:none;z-index:251661312;mso-width-relative:page;mso-height-relative:page;" filled="f" stroked="f" coordsize="21600,21600" o:gfxdata="UEsDBAoAAAAAAIdO4kAAAAAAAAAAAAAAAAAEAAAAZHJzL1BLAwQUAAAACACHTuJA6sA6Yt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vN/Q4Ey+ss48uJhzu1&#10;BVkW8n+B8gd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rAOmL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jc w:val="left"/>
                      <w:rPr>
                        <w:rFonts w:hint="eastAsia" w:ascii="等线" w:hAnsi="等线" w:eastAsia="等线"/>
                        <w:b/>
                        <w:sz w:val="24"/>
                      </w:rPr>
                    </w:pPr>
                  </w:p>
                  <w:p>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pPr>
                      <w:pStyle w:val="5"/>
                      <w:jc w:val="center"/>
                      <w:rPr>
                        <w:rFonts w:hint="eastAsia"/>
                      </w:rPr>
                    </w:pPr>
                    <w:r>
                      <w:rPr>
                        <w:rFonts w:hint="eastAsia"/>
                      </w:rPr>
                      <w:t xml:space="preserve">    </w:t>
                    </w:r>
                  </w:p>
                  <w:p>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right="210"/>
      <w:jc w:val="right"/>
      <w:rPr>
        <w:rFonts w:hint="eastAsia" w:ascii="微软雅黑" w:hAnsi="微软雅黑" w:eastAsia="微软雅黑"/>
        <w:i/>
        <w:szCs w:val="21"/>
      </w:rPr>
    </w:pPr>
  </w:p>
  <w:p>
    <w:pPr>
      <w:spacing w:line="240" w:lineRule="atLeast"/>
      <w:ind w:right="210"/>
      <w:jc w:val="right"/>
      <w:rPr>
        <w:rFonts w:hint="eastAsia" w:ascii="微软雅黑" w:hAnsi="微软雅黑" w:eastAsia="微软雅黑"/>
        <w:i/>
        <w:szCs w:val="21"/>
      </w:rPr>
    </w:pPr>
    <w:r>
      <w:rPr>
        <w:rFonts w:hint="eastAsia" w:ascii="微软雅黑" w:hAnsi="微软雅黑" w:eastAsia="微软雅黑"/>
        <w:i/>
        <w:szCs w:val="21"/>
      </w:rPr>
      <w:t xml:space="preserve">                                 </w:t>
    </w:r>
    <w:r>
      <w:rPr>
        <w:rFonts w:ascii="微软雅黑" w:hAnsi="微软雅黑" w:eastAsia="微软雅黑"/>
        <w:i/>
        <w:szCs w:val="21"/>
      </w:rPr>
      <w:t>陕西丰汇韵嘉会计师事务所合伙企业（普通合伙）</w:t>
    </w:r>
  </w:p>
  <w:p>
    <w:pPr>
      <w:spacing w:line="240" w:lineRule="atLeast"/>
      <w:ind w:right="210"/>
      <w:jc w:val="right"/>
    </w:pPr>
    <w:r>
      <w:drawing>
        <wp:anchor distT="0" distB="0" distL="114300" distR="114300" simplePos="0" relativeHeight="251659264" behindDoc="1" locked="0" layoutInCell="1" allowOverlap="1">
          <wp:simplePos x="0" y="0"/>
          <wp:positionH relativeFrom="column">
            <wp:posOffset>228600</wp:posOffset>
          </wp:positionH>
          <wp:positionV relativeFrom="paragraph">
            <wp:posOffset>-429260</wp:posOffset>
          </wp:positionV>
          <wp:extent cx="575945" cy="575945"/>
          <wp:effectExtent l="0" t="0" r="14605" b="146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945" cy="575945"/>
                  </a:xfrm>
                  <a:prstGeom prst="rect">
                    <a:avLst/>
                  </a:prstGeom>
                  <a:noFill/>
                  <a:ln>
                    <a:noFill/>
                  </a:ln>
                </pic:spPr>
              </pic:pic>
            </a:graphicData>
          </a:graphic>
        </wp:anchor>
      </w:drawing>
    </w:r>
    <w:r>
      <w:rPr>
        <w:rFonts w:ascii="微软雅黑" w:hAnsi="微软雅黑" w:eastAsia="微软雅黑"/>
        <w:i/>
        <w:szCs w:val="21"/>
      </w:rPr>
      <w:t>S</w:t>
    </w:r>
    <w:r>
      <w:rPr>
        <w:rFonts w:hint="eastAsia" w:ascii="微软雅黑" w:hAnsi="微软雅黑" w:eastAsia="微软雅黑"/>
        <w:i/>
        <w:szCs w:val="21"/>
      </w:rPr>
      <w:t>HAANXI</w:t>
    </w:r>
    <w:r>
      <w:rPr>
        <w:rFonts w:ascii="微软雅黑" w:hAnsi="微软雅黑" w:eastAsia="微软雅黑"/>
        <w:i/>
        <w:szCs w:val="21"/>
      </w:rPr>
      <w:t xml:space="preserve"> F</w:t>
    </w:r>
    <w:r>
      <w:rPr>
        <w:rFonts w:hint="eastAsia" w:ascii="微软雅黑" w:hAnsi="微软雅黑" w:eastAsia="微软雅黑"/>
        <w:i/>
        <w:szCs w:val="21"/>
      </w:rPr>
      <w:t>ENG HUI</w:t>
    </w:r>
    <w:r>
      <w:rPr>
        <w:rFonts w:ascii="微软雅黑" w:hAnsi="微软雅黑" w:eastAsia="微软雅黑"/>
        <w:i/>
        <w:szCs w:val="21"/>
      </w:rPr>
      <w:t xml:space="preserve"> </w:t>
    </w:r>
    <w:r>
      <w:rPr>
        <w:rFonts w:hint="eastAsia" w:ascii="微软雅黑" w:hAnsi="微软雅黑" w:eastAsia="微软雅黑"/>
        <w:i/>
        <w:szCs w:val="21"/>
      </w:rPr>
      <w:t>YUNJIA</w:t>
    </w:r>
    <w:r>
      <w:rPr>
        <w:rFonts w:ascii="微软雅黑" w:hAnsi="微软雅黑" w:eastAsia="微软雅黑"/>
        <w:i/>
        <w:szCs w:val="21"/>
      </w:rPr>
      <w:t xml:space="preserve"> </w:t>
    </w:r>
    <w:r>
      <w:rPr>
        <w:rFonts w:hint="eastAsia" w:ascii="微软雅黑" w:hAnsi="微软雅黑" w:eastAsia="微软雅黑"/>
        <w:i/>
        <w:szCs w:val="21"/>
      </w:rPr>
      <w:t>C.P.A</w:t>
    </w:r>
    <w:r>
      <w:rPr>
        <w:rFonts w:ascii="微软雅黑" w:hAnsi="微软雅黑" w:eastAsia="微软雅黑"/>
        <w:i/>
        <w:szCs w:val="21"/>
      </w:rPr>
      <w:t xml:space="preserve"> P</w:t>
    </w:r>
    <w:r>
      <w:rPr>
        <w:rFonts w:hint="eastAsia" w:ascii="微软雅黑" w:hAnsi="微软雅黑" w:eastAsia="微软雅黑"/>
        <w:i/>
        <w:szCs w:val="21"/>
      </w:rPr>
      <w:t>ARTNERSHIP</w:t>
    </w:r>
  </w:p>
  <w:p>
    <w:pPr>
      <w:pStyle w:val="6"/>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24765</wp:posOffset>
              </wp:positionV>
              <wp:extent cx="593153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9315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1.95pt;height:0pt;width:467.05pt;z-index:251660288;mso-width-relative:page;mso-height-relative:page;" filled="f" stroked="t" coordsize="21600,21600" o:gfxdata="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YUiI1QAAAAYBAAAP&#10;AAAAAAAAAAEAIAAAACIAAABkcnMvZG93bnJldi54bWxQSwECFAAUAAAACACHTuJAHojGS+IBAACe&#10;AwAADgAAAAAAAAABACAAAAAkAQAAZHJzL2Uyb0RvYy54bWxQSwUGAAAAAAYABgBZAQAAeA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56F74"/>
    <w:multiLevelType w:val="singleLevel"/>
    <w:tmpl w:val="97A56F74"/>
    <w:lvl w:ilvl="0" w:tentative="0">
      <w:start w:val="1"/>
      <w:numFmt w:val="chineseCounting"/>
      <w:suff w:val="nothing"/>
      <w:lvlText w:val="（%1）"/>
      <w:lvlJc w:val="left"/>
      <w:rPr>
        <w:rFonts w:hint="eastAsia"/>
      </w:rPr>
    </w:lvl>
  </w:abstractNum>
  <w:abstractNum w:abstractNumId="1">
    <w:nsid w:val="D4BBF96E"/>
    <w:multiLevelType w:val="multilevel"/>
    <w:tmpl w:val="D4BBF96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BAD4CB"/>
    <w:multiLevelType w:val="singleLevel"/>
    <w:tmpl w:val="2ABAD4CB"/>
    <w:lvl w:ilvl="0" w:tentative="0">
      <w:start w:val="1"/>
      <w:numFmt w:val="chineseCounting"/>
      <w:suff w:val="nothing"/>
      <w:lvlText w:val="（%1）"/>
      <w:lvlJc w:val="left"/>
      <w:rPr>
        <w:rFonts w:hint="eastAsia"/>
      </w:rPr>
    </w:lvl>
  </w:abstractNum>
  <w:abstractNum w:abstractNumId="3">
    <w:nsid w:val="60FDA3F8"/>
    <w:multiLevelType w:val="singleLevel"/>
    <w:tmpl w:val="60FDA3F8"/>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DYxNzNhYjEwNmQ1OWRhYTJmNzRjZjJiMjA1YTQifQ=="/>
  </w:docVars>
  <w:rsids>
    <w:rsidRoot w:val="6A744225"/>
    <w:rsid w:val="00CF2253"/>
    <w:rsid w:val="03756594"/>
    <w:rsid w:val="04D119C2"/>
    <w:rsid w:val="0C0733B6"/>
    <w:rsid w:val="0F5D3B7D"/>
    <w:rsid w:val="1028050C"/>
    <w:rsid w:val="10FC38B8"/>
    <w:rsid w:val="15766F09"/>
    <w:rsid w:val="1A0D715C"/>
    <w:rsid w:val="21292CCD"/>
    <w:rsid w:val="230D2DB7"/>
    <w:rsid w:val="2386634A"/>
    <w:rsid w:val="266F6BFE"/>
    <w:rsid w:val="2829181B"/>
    <w:rsid w:val="2F2B06D1"/>
    <w:rsid w:val="2F816AC1"/>
    <w:rsid w:val="315D2224"/>
    <w:rsid w:val="3CAB5653"/>
    <w:rsid w:val="4115326E"/>
    <w:rsid w:val="46AF1972"/>
    <w:rsid w:val="48DC2848"/>
    <w:rsid w:val="49D1756E"/>
    <w:rsid w:val="4D32161E"/>
    <w:rsid w:val="5012721B"/>
    <w:rsid w:val="56D8241E"/>
    <w:rsid w:val="695A1176"/>
    <w:rsid w:val="69A73569"/>
    <w:rsid w:val="6A122540"/>
    <w:rsid w:val="6A744225"/>
    <w:rsid w:val="6C943789"/>
    <w:rsid w:val="6F646BFD"/>
    <w:rsid w:val="71185AFB"/>
    <w:rsid w:val="7737599F"/>
    <w:rsid w:val="7C1C5A9E"/>
    <w:rsid w:val="7D3C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360"/>
      </w:tabs>
      <w:spacing w:line="240" w:lineRule="atLeast"/>
      <w:ind w:firstLine="556"/>
      <w:outlineLvl w:val="0"/>
    </w:pPr>
    <w:rPr>
      <w:sz w:val="28"/>
      <w:szCs w:val="20"/>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仿宋_GB2312" w:cs="Times New Roman"/>
      <w:color w:val="000000"/>
      <w:kern w:val="2"/>
      <w:sz w:val="24"/>
      <w:szCs w:val="24"/>
      <w:lang w:val="en-US" w:eastAsia="zh-CN" w:bidi="ar"/>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15"/>
    <w:basedOn w:val="10"/>
    <w:qFormat/>
    <w:uiPriority w:val="0"/>
    <w:rPr>
      <w:rFonts w:hint="eastAsia" w:ascii="宋体" w:hAnsi="宋体" w:eastAsia="宋体" w:cs="宋体"/>
      <w:color w:val="000000"/>
      <w:sz w:val="20"/>
      <w:szCs w:val="20"/>
    </w:rPr>
  </w:style>
  <w:style w:type="character" w:customStyle="1" w:styleId="15">
    <w:name w:val="16"/>
    <w:basedOn w:val="10"/>
    <w:qFormat/>
    <w:uiPriority w:val="0"/>
    <w:rPr>
      <w:rFonts w:hint="eastAsia" w:ascii="宋体" w:hAnsi="宋体" w:eastAsia="宋体" w:cs="宋体"/>
      <w:color w:val="000000"/>
      <w:sz w:val="20"/>
      <w:szCs w:val="20"/>
    </w:rPr>
  </w:style>
  <w:style w:type="character" w:customStyle="1" w:styleId="16">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11494</Words>
  <Characters>12225</Characters>
  <Lines>0</Lines>
  <Paragraphs>0</Paragraphs>
  <TotalTime>72</TotalTime>
  <ScaleCrop>false</ScaleCrop>
  <LinksUpToDate>false</LinksUpToDate>
  <CharactersWithSpaces>12371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2024-06-26T03:54:00Z</dcterms:created>
  <dc:creator>niu</dc:creator>
  <cp:lastModifiedBy>723132</cp:lastModifiedBy>
  <dcterms:modified xsi:type="dcterms:W3CDTF">2025-09-22T03:57:37Z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CD1868D94ED549D9B3A4F34164C58CFD_11</vt:lpwstr>
  </property>
</Properties>
</file>