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行政复议申请书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（适用于公民）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申请人：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性别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出生日期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身份证或者其他有效证件号码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工作单位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住所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邮政编码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委托代理人：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被申请人：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住所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职务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〔第三人：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　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性别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出生日期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身份证或者其他有效证件号码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住所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邮政编码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〕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行政复议请求：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事实和理由：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（行政复议机关名称）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附件：1.申请书副本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2.申请人身份证明材料复印件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3.其他有关材料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4.授权委托书（有委托代理人的）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　　　　申请人（签名或者盖章）：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（申请行政复议的日期）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　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9" w:beforeLines="100" w:line="560" w:lineRule="exact"/>
        <w:jc w:val="center"/>
        <w:rPr>
          <w:rFonts w:hint="eastAsia" w:ascii="方正小标宋_GBK" w:eastAsia="方正小标宋_GBK" w:cs="方正小标宋_GBK"/>
          <w:bCs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  <w:t>行政复议申请书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240" w:firstLineChars="7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（适用于法人或者其他组织）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申请人：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统一社会信用代码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住所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邮政编码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法定代表人或者主要负责人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职务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委托代理人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被申请人：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住所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法定代表人：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职务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行政复议请求：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single"/>
        </w:rPr>
        <w:t xml:space="preserve">                                      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事实和理由：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（行政复议机关名称）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附件：1.行政复议申请书副本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2.申请人身份（营业执照等）证明材料复印件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3.其他有关材料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4.授权委托书（有委托代理人的）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　　申请人（签名或者盖章）：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（申请行政复议的日期）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　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4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44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4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D2336"/>
    <w:rsid w:val="491B090B"/>
    <w:rsid w:val="526E468B"/>
    <w:rsid w:val="52E05430"/>
    <w:rsid w:val="64ED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widowControl/>
      <w:spacing w:line="600" w:lineRule="exact"/>
      <w:textAlignment w:val="baseline"/>
    </w:pPr>
    <w:rPr>
      <w:rFonts w:ascii="仿宋_GB2312" w:eastAsia="仿宋_GB2312"/>
      <w:color w:val="000000"/>
      <w:kern w:val="0"/>
      <w:sz w:val="32"/>
      <w:szCs w:val="20"/>
      <w:u w:val="none" w:color="00000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2024-03-06T02:30:00Z</dcterms:created>
  <dc:creator>Administrator</dc:creator>
  <cp:lastModifiedBy>Administrator</cp:lastModifiedBy>
  <dcterms:modified xsi:type="dcterms:W3CDTF">2024-03-06T02:39:20Z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